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d51617e6f4b7f" /></Relationships>
</file>

<file path=word/document.xml><?xml version="1.0" encoding="utf-8"?>
<w:document xmlns:w="http://schemas.openxmlformats.org/wordprocessingml/2006/main">
  <w:body>
    <w:p>
      <w:r>
        <w:rPr>
          <w:b/>
        </w:rPr>
        <w:r>
          <w:rPr/>
          <w:t xml:space="preserve">5299-S.E</w:t>
        </w:r>
      </w:r>
      <w:r>
        <w:rPr>
          <w:b/>
        </w:rPr>
        <w:t xml:space="preserve"> </w:t>
        <w:t xml:space="preserve">AMH</w:t>
      </w:r>
      <w:r>
        <w:rPr>
          <w:b/>
        </w:rPr>
        <w:t xml:space="preserve"> </w:t>
        <w:r>
          <w:rPr/>
          <w:t xml:space="preserve">CSJR</w:t>
        </w:r>
      </w:r>
      <w:r>
        <w:rPr>
          <w:b/>
        </w:rPr>
        <w:t xml:space="preserve"> </w:t>
        <w:r>
          <w:rPr/>
          <w:t xml:space="preserve">H3300.1</w:t>
        </w:r>
      </w:r>
      <w:r>
        <w:rPr>
          <w:b/>
        </w:rPr>
        <w:t xml:space="preserve"> - NOT FOR FLOOR USE</w:t>
      </w:r>
    </w:p>
    <w:p>
      <w:pPr>
        <w:ind w:left="0" w:right="0" w:firstLine="576"/>
      </w:pPr>
      <w:r>
        <w:rPr/>
        <w:t xml:space="preserve"> </w:t>
      </w:r>
    </w:p>
    <w:p>
      <w:pPr>
        <w:spacing w:before="480" w:after="0" w:line="408" w:lineRule="exact"/>
      </w:pPr>
      <w:r>
        <w:rPr>
          <w:b/>
          <w:u w:val="single"/>
        </w:rPr>
        <w:t xml:space="preserve">ESSB 5299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w:t>
      </w:r>
      <w:r>
        <w:rPr>
          <w:u w:val="single"/>
        </w:rPr>
        <w:t xml:space="preserve">Assaults a law enforcement officer or other employee of a law enforcement agency who was off duty at the time of the assault, but the assault was committed with the intent to specifically target the person due to their employment as a law enforcement professional; or</w:t>
      </w:r>
    </w:p>
    <w:p>
      <w:pPr>
        <w:spacing w:before="0" w:after="0" w:line="408" w:lineRule="exact"/>
        <w:ind w:left="0" w:right="0" w:firstLine="576"/>
        <w:jc w:val="left"/>
      </w:pPr>
      <w:r>
        <w:rPr>
          <w:u w:val="single"/>
        </w:rPr>
        <w:t xml:space="preserve">(i)</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831</w:t>
      </w:r>
      <w:r>
        <w:rPr/>
        <w:t xml:space="preserve"> and 2009 c 141 s 1 are each amended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assaulting a law enforcement officer or other employee of a law enforcement agency who was performing his or her official duties at the time of the assault as provided under RCW 9A.36.031; and</w:t>
      </w:r>
    </w:p>
    <w:p>
      <w:pPr>
        <w:spacing w:before="0" w:after="0" w:line="408" w:lineRule="exact"/>
        <w:ind w:left="0" w:right="0" w:firstLine="576"/>
        <w:jc w:val="left"/>
      </w:pPr>
      <w:r>
        <w:rPr/>
        <w:t xml:space="preserve">(2) There has been a special allegation pleaded and proven beyond a reasonable doubt that the defendant intentionally committed the assault with </w:t>
      </w:r>
      <w:r>
        <w:rPr>
          <w:u w:val="single"/>
        </w:rPr>
        <w:t xml:space="preserve">a deadly weapon as defined in RCW 9A.04.110, or</w:t>
      </w:r>
      <w:r>
        <w:rPr/>
        <w:t xml:space="preserve"> what appears to be a firearm;</w:t>
      </w:r>
    </w:p>
    <w:p>
      <w:pPr>
        <w:spacing w:before="0" w:after="0" w:line="408" w:lineRule="exact"/>
        <w:ind w:left="0" w:right="0" w:firstLine="0"/>
        <w:jc w:val="left"/>
      </w:pPr>
      <w:r>
        <w:rPr/>
        <w:t xml:space="preserve">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special allegation and sentencing enhancement in current law for qualifying assaults committed against an on-duty officer or other employee of a law enforcement agency to apply to assaults with a deadly weapon or what appears to be a firearm, rather than only assaults with what appears to be a deadly weapon. Eliminates the amendatory provision requiring reporting and data collection for incidents where an officer is physically harmed by a citizen while performing duties within the scope of the officer's employment.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b69c3b9ef4e55" /></Relationships>
</file>