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0817dc3954d7f" /></Relationships>
</file>

<file path=word/document.xml><?xml version="1.0" encoding="utf-8"?>
<w:document xmlns:w="http://schemas.openxmlformats.org/wordprocessingml/2006/main">
  <w:body>
    <w:p>
      <w:r>
        <w:rPr>
          <w:b/>
        </w:rPr>
        <w:r>
          <w:rPr/>
          <w:t xml:space="preserve">5405-S</w:t>
        </w:r>
      </w:r>
      <w:r>
        <w:rPr>
          <w:b/>
        </w:rPr>
        <w:t xml:space="preserve"> </w:t>
        <w:t xml:space="preserve">AMH</w:t>
      </w:r>
      <w:r>
        <w:rPr>
          <w:b/>
        </w:rPr>
        <w:t xml:space="preserve"> </w:t>
        <w:r>
          <w:rPr/>
          <w:t xml:space="preserve">RSG</w:t>
        </w:r>
      </w:r>
      <w:r>
        <w:rPr>
          <w:b/>
        </w:rPr>
        <w:t xml:space="preserve"> </w:t>
        <w:r>
          <w:rPr/>
          <w:t xml:space="preserve">H1768.1</w:t>
        </w:r>
      </w:r>
      <w:r>
        <w:rPr>
          <w:b/>
        </w:rPr>
        <w:t xml:space="preserve"> - NOT FOR FLOOR USE</w:t>
      </w:r>
    </w:p>
    <w:p>
      <w:pPr>
        <w:ind w:left="0" w:right="0" w:firstLine="576"/>
      </w:pPr>
    </w:p>
    <w:p>
      <w:pPr>
        <w:spacing w:before="480" w:after="0" w:line="408" w:lineRule="exact"/>
      </w:pPr>
      <w:r>
        <w:rPr>
          <w:b/>
          <w:u w:val="single"/>
        </w:rPr>
        <w:t xml:space="preserve">SSB 5405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2019 c 445 s 201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subsection (2) of this section, the</w:t>
      </w:r>
      <w:r>
        <w:rPr/>
        <w:t xml:space="preserve"> liquor and cannabis board may issue subpoenas in connection with any investigation, hearing, or proceeding for the production of books, records, and documents held under this chapter or chapters </w:t>
      </w:r>
      <w:r>
        <w:rPr>
          <w:u w:val="single"/>
        </w:rPr>
        <w:t xml:space="preserve">69.50, 69.51A,</w:t>
      </w:r>
      <w:r>
        <w:rPr/>
        <w:t xml:space="preserve"> 70.155, 70.158, 70.345, 82.24, 82.26, and 82.25 RCW, and books and records of common carriers as defined in RCW 81.80.010, or vehicle rental agencies</w:t>
      </w:r>
      <w:r>
        <w:rPr>
          <w:u w:val="single"/>
        </w:rPr>
        <w:t xml:space="preserve">,</w:t>
      </w:r>
      <w:r>
        <w:rPr/>
        <w:t xml:space="preserve"> relating to the transportation or possession of </w:t>
      </w:r>
      <w:r>
        <w:rPr>
          <w:u w:val="single"/>
        </w:rPr>
        <w:t xml:space="preserve">cannabis,</w:t>
      </w:r>
      <w:r>
        <w:rPr/>
        <w:t xml:space="preserve"> cigarettes, vapor products, or other tobacco products.</w:t>
      </w:r>
    </w:p>
    <w:p>
      <w:pPr>
        <w:spacing w:before="0" w:after="0" w:line="408" w:lineRule="exact"/>
        <w:ind w:left="0" w:right="0" w:firstLine="576"/>
        <w:jc w:val="left"/>
      </w:pPr>
      <w:r>
        <w:rPr/>
        <w:t xml:space="preserve">(2)</w:t>
      </w:r>
      <w:r>
        <w:rPr>
          <w:u w:val="single"/>
        </w:rPr>
        <w:t xml:space="preserve">(a) Prior to signing, issuing, or serving a subpoena on or after the effective date of this section, the liquor and cannabis board shall, at a minimum, first attempt to obtain production of the books, records, or documents by:</w:t>
      </w:r>
    </w:p>
    <w:p>
      <w:pPr>
        <w:spacing w:before="0" w:after="0" w:line="408" w:lineRule="exact"/>
        <w:ind w:left="0" w:right="0" w:firstLine="576"/>
        <w:jc w:val="left"/>
      </w:pPr>
      <w:r>
        <w:rPr>
          <w:u w:val="single"/>
        </w:rPr>
        <w:t xml:space="preserve">(i) An informal investigative contact; and</w:t>
      </w:r>
    </w:p>
    <w:p>
      <w:pPr>
        <w:spacing w:before="0" w:after="0" w:line="408" w:lineRule="exact"/>
        <w:ind w:left="0" w:right="0" w:firstLine="576"/>
        <w:jc w:val="left"/>
      </w:pPr>
      <w:r>
        <w:rPr>
          <w:u w:val="single"/>
        </w:rPr>
        <w:t xml:space="preserve">(ii) Regular mail and certified mail.</w:t>
      </w:r>
    </w:p>
    <w:p>
      <w:pPr>
        <w:spacing w:before="0" w:after="0" w:line="408" w:lineRule="exact"/>
        <w:ind w:left="0" w:right="0" w:firstLine="576"/>
        <w:jc w:val="left"/>
      </w:pPr>
      <w:r>
        <w:rPr>
          <w:u w:val="single"/>
        </w:rPr>
        <w:t xml:space="preserve">(b) A subpoena under this section may be served by regular mail and certified mail or in person by either:</w:t>
      </w:r>
    </w:p>
    <w:p>
      <w:pPr>
        <w:spacing w:before="0" w:after="0" w:line="408" w:lineRule="exact"/>
        <w:ind w:left="0" w:right="0" w:firstLine="576"/>
        <w:jc w:val="left"/>
      </w:pPr>
      <w:r>
        <w:rPr>
          <w:u w:val="single"/>
        </w:rPr>
        <w:t xml:space="preserve">(i) An enforcement officer of the liquor and cannabis board who graduated from the Washington state criminal justice training commission and complies with (c) of this subsection (2); or</w:t>
      </w:r>
    </w:p>
    <w:p>
      <w:pPr>
        <w:spacing w:before="0" w:after="0" w:line="408" w:lineRule="exact"/>
        <w:ind w:left="0" w:right="0" w:firstLine="576"/>
        <w:jc w:val="left"/>
      </w:pPr>
      <w:r>
        <w:rPr>
          <w:u w:val="single"/>
        </w:rPr>
        <w:t xml:space="preserve">(ii) A private investigator licensed under chapter 18.165 RCW who complies with (c) of this subsection (2).</w:t>
      </w:r>
    </w:p>
    <w:p>
      <w:pPr>
        <w:spacing w:before="0" w:after="0" w:line="408" w:lineRule="exact"/>
        <w:ind w:left="0" w:right="0" w:firstLine="576"/>
        <w:jc w:val="left"/>
      </w:pPr>
      <w:r>
        <w:rPr>
          <w:u w:val="single"/>
        </w:rPr>
        <w:t xml:space="preserve">(c) Any individual signing, issuing, or serving a subpoena for the liquor and cannabis board on or after the effective date of this section must complete training on unconscious bias.</w:t>
      </w:r>
    </w:p>
    <w:p>
      <w:pPr>
        <w:spacing w:before="0" w:after="0" w:line="408" w:lineRule="exact"/>
        <w:ind w:left="0" w:right="0" w:firstLine="576"/>
        <w:jc w:val="left"/>
      </w:pPr>
      <w:r>
        <w:rPr>
          <w:u w:val="single"/>
        </w:rPr>
        <w:t xml:space="preserve">(d) Information about how to challenge the subpoena must be provided in writing to the person subject to the subpoena with the service of a subpoena under this section.</w:t>
      </w:r>
    </w:p>
    <w:p>
      <w:pPr>
        <w:spacing w:before="0" w:after="0" w:line="408" w:lineRule="exact"/>
        <w:ind w:left="0" w:right="0" w:firstLine="576"/>
        <w:jc w:val="left"/>
      </w:pPr>
      <w:r>
        <w:rPr>
          <w:u w:val="single"/>
        </w:rPr>
        <w:t xml:space="preserve">(e) The liquor and cannabis board shall sign, issue, and serve subpoenas under this section through a uniform process and procedures.</w:t>
      </w:r>
    </w:p>
    <w:p>
      <w:pPr>
        <w:spacing w:before="0" w:after="0" w:line="408" w:lineRule="exact"/>
        <w:ind w:left="0" w:right="0" w:firstLine="576"/>
        <w:jc w:val="left"/>
      </w:pPr>
      <w:r>
        <w:rPr>
          <w:u w:val="single"/>
        </w:rPr>
        <w:t xml:space="preserve">(f) Except as otherwise provided in this section, the liquor and cannabis board is subject to the requirements and duties with respect to subpoenas imposed under Washington state superior court civil rules in effect at the time of issuance of the subpoena, regarding:</w:t>
      </w:r>
    </w:p>
    <w:p>
      <w:pPr>
        <w:spacing w:before="0" w:after="0" w:line="408" w:lineRule="exact"/>
        <w:ind w:left="0" w:right="0" w:firstLine="576"/>
        <w:jc w:val="left"/>
      </w:pPr>
      <w:r>
        <w:rPr>
          <w:u w:val="single"/>
        </w:rPr>
        <w:t xml:space="preserve">(i) The form, issuance, and service of subpoenas; and</w:t>
      </w:r>
    </w:p>
    <w:p>
      <w:pPr>
        <w:spacing w:before="0" w:after="0" w:line="408" w:lineRule="exact"/>
        <w:ind w:left="0" w:right="0" w:firstLine="576"/>
        <w:jc w:val="left"/>
      </w:pPr>
      <w:r>
        <w:rPr>
          <w:u w:val="single"/>
        </w:rPr>
        <w:t xml:space="preserve">(ii) The duty to take responsible steps to avoid imposing undue burden or expense on a person subject to the subpoena.</w:t>
      </w:r>
    </w:p>
    <w:p>
      <w:pPr>
        <w:spacing w:before="0" w:after="0" w:line="408" w:lineRule="exact"/>
        <w:ind w:left="0" w:right="0" w:firstLine="576"/>
        <w:jc w:val="left"/>
      </w:pPr>
      <w:r>
        <w:rPr>
          <w:u w:val="single"/>
        </w:rPr>
        <w:t xml:space="preserve">(g)</w:t>
      </w:r>
      <w:r>
        <w:rPr/>
        <w:t xml:space="preserve">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submit an annual report to the legislature and the governor, by the dates specified in subsection (2) of this section, with information about the subpoenas the board issued and served in the preceding year under RCW 66.08.145. The reports required under this section must include, but are not limited to, the following information regarding subpoenas issued and served in the preceding year:</w:t>
      </w:r>
    </w:p>
    <w:p>
      <w:pPr>
        <w:spacing w:before="0" w:after="0" w:line="408" w:lineRule="exact"/>
        <w:ind w:left="0" w:right="0" w:firstLine="576"/>
        <w:jc w:val="left"/>
      </w:pPr>
      <w:r>
        <w:rPr/>
        <w:t xml:space="preserve">(a) The total number of subpoenas issued and served by the liquor and cannabis board;</w:t>
      </w:r>
    </w:p>
    <w:p>
      <w:pPr>
        <w:spacing w:before="0" w:after="0" w:line="408" w:lineRule="exact"/>
        <w:ind w:left="0" w:right="0" w:firstLine="576"/>
        <w:jc w:val="left"/>
      </w:pPr>
      <w:r>
        <w:rPr/>
        <w:t xml:space="preserve">(b) A comparison of how many subpoenas were issued and served in connection with investigations related to cannabis, liquor, cigarettes, vapor products, and tobacco products;</w:t>
      </w:r>
    </w:p>
    <w:p>
      <w:pPr>
        <w:spacing w:before="0" w:after="0" w:line="408" w:lineRule="exact"/>
        <w:ind w:left="0" w:right="0" w:firstLine="576"/>
        <w:jc w:val="left"/>
      </w:pPr>
      <w:r>
        <w:rPr/>
        <w:t xml:space="preserve">(c) How many subpoenas were issued and served to, or were related to an investigation of, a social equity applicant as defined in RCW 69.50.335 or a licensee who is licensed through the cannabis social equity program;</w:t>
      </w:r>
    </w:p>
    <w:p>
      <w:pPr>
        <w:spacing w:before="0" w:after="0" w:line="408" w:lineRule="exact"/>
        <w:ind w:left="0" w:right="0" w:firstLine="576"/>
        <w:jc w:val="left"/>
      </w:pPr>
      <w:r>
        <w:rPr/>
        <w:t xml:space="preserve">(d) The numbers of subpoenas served in person compared to subpoenas served by regular mail and certified mail;</w:t>
      </w:r>
    </w:p>
    <w:p>
      <w:pPr>
        <w:spacing w:before="0" w:after="0" w:line="408" w:lineRule="exact"/>
        <w:ind w:left="0" w:right="0" w:firstLine="576"/>
        <w:jc w:val="left"/>
      </w:pPr>
      <w:r>
        <w:rPr/>
        <w:t xml:space="preserve">(e) How many of the subpoenas successfully resulted in the production of the books, records, or documents sought by the liquor and cannabis board;</w:t>
      </w:r>
    </w:p>
    <w:p>
      <w:pPr>
        <w:spacing w:before="0" w:after="0" w:line="408" w:lineRule="exact"/>
        <w:ind w:left="0" w:right="0" w:firstLine="576"/>
        <w:jc w:val="left"/>
      </w:pPr>
      <w:r>
        <w:rPr/>
        <w:t xml:space="preserve">(f) How many contempt of court proceedings the liquor and cannabis board instituted for the failure or refusal to obey a subpoena; and</w:t>
      </w:r>
    </w:p>
    <w:p>
      <w:pPr>
        <w:spacing w:before="0" w:after="0" w:line="408" w:lineRule="exact"/>
        <w:ind w:left="0" w:right="0" w:firstLine="576"/>
        <w:jc w:val="left"/>
      </w:pPr>
      <w:r>
        <w:rPr/>
        <w:t xml:space="preserve">(g) A summary of sanctions imposed, or orders issued, by courts in any contempt of court proceedings initiated by the liquor and cannabis board after a person fails or refuses to obey a subpoena for the production of records, books, or documents.</w:t>
      </w:r>
    </w:p>
    <w:p>
      <w:pPr>
        <w:spacing w:before="0" w:after="0" w:line="408" w:lineRule="exact"/>
        <w:ind w:left="0" w:right="0" w:firstLine="576"/>
        <w:jc w:val="left"/>
      </w:pPr>
      <w:r>
        <w:rPr/>
        <w:t xml:space="preserve">(2) Reports under this section are due to the governor and the appropriate committees of the legislature by July 1, 2024, and by July 1st of each year thereafter, with a final report due by July 1, 2028.</w:t>
      </w:r>
    </w:p>
    <w:p>
      <w:pPr>
        <w:spacing w:before="0" w:after="0" w:line="408" w:lineRule="exact"/>
        <w:ind w:left="0" w:right="0" w:firstLine="576"/>
        <w:jc w:val="left"/>
      </w:pPr>
      <w:r>
        <w:rPr/>
        <w:t xml:space="preserve">(3) This section expires on June 30, 2029."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prior to signing, issuing, or serving a subpoena, the Liquor and Cannabis Board (LCB) must, at a minimum, first attempt to obtain production of the books, records, or documents by an informal investigative contact and by regular mail and certified mail.</w:t>
      </w:r>
    </w:p>
    <w:p>
      <w:pPr>
        <w:spacing w:before="0" w:after="0" w:line="408" w:lineRule="exact"/>
        <w:ind w:left="0" w:right="0" w:firstLine="576"/>
        <w:jc w:val="left"/>
      </w:pPr>
      <w:r>
        <w:rPr/>
        <w:t xml:space="preserve">(2) Requires a subpoena issued and served by the LCB to be served by regular mail and certified mail, or in person by: (a) An enforcement officer of the LCB who graduated from the Washington State Criminal Justice Training Commission; or (b) a licensed private investigator.</w:t>
      </w:r>
    </w:p>
    <w:p>
      <w:pPr>
        <w:spacing w:before="0" w:after="0" w:line="408" w:lineRule="exact"/>
        <w:ind w:left="0" w:right="0" w:firstLine="576"/>
        <w:jc w:val="left"/>
      </w:pPr>
      <w:r>
        <w:rPr/>
        <w:t xml:space="preserve">(3) Requires any individual signing, issuing, or serving a subpoena for the LCB to complete training on unconscious bias.</w:t>
      </w:r>
    </w:p>
    <w:p>
      <w:pPr>
        <w:spacing w:before="0" w:after="0" w:line="408" w:lineRule="exact"/>
        <w:ind w:left="0" w:right="0" w:firstLine="576"/>
        <w:jc w:val="left"/>
      </w:pPr>
      <w:r>
        <w:rPr/>
        <w:t xml:space="preserve">(4) Requires information about how to challenge the subpoena to be provided in writing to the person subject to the subpoena with the service of a subpoena.</w:t>
      </w:r>
    </w:p>
    <w:p>
      <w:pPr>
        <w:spacing w:before="0" w:after="0" w:line="408" w:lineRule="exact"/>
        <w:ind w:left="0" w:right="0" w:firstLine="576"/>
        <w:jc w:val="left"/>
      </w:pPr>
      <w:r>
        <w:rPr/>
        <w:t xml:space="preserve">(5) Requires the LCB to sign, issue, and serve subpoenas through a uniform process and procedures.</w:t>
      </w:r>
    </w:p>
    <w:p>
      <w:pPr>
        <w:spacing w:before="0" w:after="0" w:line="408" w:lineRule="exact"/>
        <w:ind w:left="0" w:right="0" w:firstLine="576"/>
        <w:jc w:val="left"/>
      </w:pPr>
      <w:r>
        <w:rPr/>
        <w:t xml:space="preserve">(6) Specifies that, except as otherwise provided in the bill, the LCB is subject to the requirements and duties with respect to subpoenas imposed under Washington state superior court civil court rules in effect at the time of issuance of the subpoena, regarding: (a) The form, issuance, and service of subpoenas; and (b) the duty to take responsible steps to avoid imposing undue burden or expense on a person subject to the subpoena.</w:t>
      </w:r>
    </w:p>
    <w:p>
      <w:pPr>
        <w:spacing w:before="0" w:after="0" w:line="408" w:lineRule="exact"/>
        <w:ind w:left="0" w:right="0" w:firstLine="576"/>
        <w:jc w:val="left"/>
      </w:pPr>
      <w:r>
        <w:rPr/>
        <w:t xml:space="preserve">(7) Requires the LCB to submit an annual report to the Legislature and Governor with information about subpoenas the LCB issued and served in the preceding year. Requires the first report to be submitted by July 1, 2024, with subsequent annual reports submitted each July 1st through July 1,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d738a8c6141e5" /></Relationships>
</file>