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8298c865445b3" /></Relationships>
</file>

<file path=word/document.xml><?xml version="1.0" encoding="utf-8"?>
<w:document xmlns:w="http://schemas.openxmlformats.org/wordprocessingml/2006/main">
  <w:body>
    <w:p>
      <w:r>
        <w:rPr>
          <w:b/>
        </w:rPr>
        <w:r>
          <w:rPr/>
          <w:t xml:space="preserve">5412-S2</w:t>
        </w:r>
      </w:r>
      <w:r>
        <w:rPr>
          <w:b/>
        </w:rPr>
        <w:t xml:space="preserve"> </w:t>
        <w:t xml:space="preserve">AMH</w:t>
      </w:r>
      <w:r>
        <w:rPr>
          <w:b/>
        </w:rPr>
        <w:t xml:space="preserve"> </w:t>
        <w:r>
          <w:rPr/>
          <w:t xml:space="preserve">ENGR</w:t>
        </w:r>
      </w:r>
      <w:r>
        <w:rPr>
          <w:b/>
        </w:rPr>
        <w:t xml:space="preserve"> </w:t>
        <w:r>
          <w:rPr/>
          <w:t xml:space="preserve">H1755.E</w:t>
        </w:r>
      </w:r>
      <w:r>
        <w:rPr>
          <w:b/>
        </w:rPr>
        <w:t xml:space="preserve"> - NOT FOR FLOOR USE</w:t>
      </w:r>
    </w:p>
    <w:p>
      <w:pPr>
        <w:ind w:left="0" w:right="0" w:firstLine="576"/>
      </w:pPr>
    </w:p>
    <w:p>
      <w:pPr>
        <w:spacing w:before="480" w:after="0" w:line="408" w:lineRule="exact"/>
      </w:pPr>
      <w:r>
        <w:rPr>
          <w:b/>
          <w:u w:val="single"/>
        </w:rPr>
        <w:t xml:space="preserve">2SSB 5412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w:t>
      </w:r>
      <w:r>
        <w:t>))</w:t>
      </w:r>
      <w:r>
        <w:rPr/>
        <w:t xml:space="preserve"> An exemption may be adopted by a city or county under this </w:t>
      </w:r>
      <w:r>
        <w:rPr>
          <w:u w:val="single"/>
        </w:rPr>
        <w:t xml:space="preserve">sub</w:t>
      </w:r>
      <w:r>
        <w:rPr/>
        <w:t xml:space="preserve">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 . . (Engrossed Second Substitute House Bill No. 1110), Laws of 2023. Jurisdictions shall satisfy the following criteria prior to the adoption of the categorical exemption under this subsection (3):</w:t>
      </w:r>
    </w:p>
    <w:p>
      <w:pPr>
        <w:spacing w:before="0" w:after="0" w:line="408" w:lineRule="exact"/>
        <w:ind w:left="0" w:right="0" w:firstLine="576"/>
        <w:jc w:val="left"/>
      </w:pPr>
      <w:r>
        <w:rPr>
          <w:u w:val="single"/>
        </w:rPr>
        <w:t xml:space="preserve">(a) The city or county shall find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u w:val="singl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town,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u w:val="single"/>
        </w:rPr>
        <w:t xml:space="preserve">(ii) Before finalizing the environmental analysis pursuant to (b)(i) of this subsection (3), the local government shall provide a minimum of 60 days' notice to affected tribes, relevant state agencies, other jurisdictions that may be impacted, and the public. If a local government identifies that mitigation measures are necessary to address specific probable adverse impacts, the local government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u w:val="single"/>
        </w:rPr>
        <w:t xml:space="preserve">(iii) The categorical exemption is effective 30 days following action by a local government pursuant to (b)(ii) of this subsection (3).</w:t>
      </w:r>
    </w:p>
    <w:p>
      <w:pPr>
        <w:spacing w:before="0" w:after="0" w:line="408" w:lineRule="exact"/>
        <w:ind w:left="0" w:right="0" w:firstLine="576"/>
        <w:jc w:val="left"/>
      </w:pPr>
      <w:r>
        <w:rPr>
          <w:u w:val="single"/>
        </w:rPr>
        <w:t xml:space="preserve">(4) All project actions that propose to develop one or more residential housing or middle housing units within a city west of the crest of the Cascade mountains with a population of 700,000 or more are categorically exempt from the requirements of this chapter.</w:t>
      </w:r>
    </w:p>
    <w:p>
      <w:pPr>
        <w:spacing w:before="0" w:after="0" w:line="408" w:lineRule="exact"/>
        <w:ind w:left="0" w:right="0" w:firstLine="576"/>
        <w:jc w:val="left"/>
      </w:pPr>
      <w:r>
        <w:rPr>
          <w:u w:val="single"/>
        </w:rPr>
        <w:t xml:space="preserve">(5)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local government under a planned action pursuant to RCW 43.21C.440. However, any</w:t>
      </w:r>
      <w:r>
        <w:rPr/>
        <w:t xml:space="preserve">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299a37d8c4997" /></Relationships>
</file>