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12f8521df4fb4" /></Relationships>
</file>

<file path=word/document.xml><?xml version="1.0" encoding="utf-8"?>
<w:document xmlns:w="http://schemas.openxmlformats.org/wordprocessingml/2006/main">
  <w:body>
    <w:p>
      <w:r>
        <w:rPr>
          <w:b/>
        </w:rPr>
        <w:r>
          <w:rPr/>
          <w:t xml:space="preserve">5412-S2</w:t>
        </w:r>
      </w:r>
      <w:r>
        <w:rPr>
          <w:b/>
        </w:rPr>
        <w:t xml:space="preserve"> </w:t>
        <w:t xml:space="preserve">AMH</w:t>
      </w:r>
      <w:r>
        <w:rPr>
          <w:b/>
        </w:rPr>
        <w:t xml:space="preserve"> </w:t>
        <w:r>
          <w:rPr/>
          <w:t xml:space="preserve">FITZ</w:t>
        </w:r>
      </w:r>
      <w:r>
        <w:rPr>
          <w:b/>
        </w:rPr>
        <w:t xml:space="preserve"> </w:t>
        <w:r>
          <w:rPr/>
          <w:t xml:space="preserve">H1931.1</w:t>
        </w:r>
      </w:r>
      <w:r>
        <w:rPr>
          <w:b/>
        </w:rPr>
        <w:t xml:space="preserve"> - NOT FOR FLOOR USE</w:t>
      </w:r>
    </w:p>
    <w:p>
      <w:pPr>
        <w:ind w:left="0" w:right="0" w:firstLine="576"/>
      </w:pPr>
    </w:p>
    <w:p>
      <w:pPr>
        <w:spacing w:before="480" w:after="0" w:line="408" w:lineRule="exact"/>
      </w:pPr>
      <w:r>
        <w:rPr>
          <w:b/>
          <w:u w:val="single"/>
        </w:rPr>
        <w:t xml:space="preserve">2SSB 5412</w:t>
      </w:r>
      <w:r>
        <w:t xml:space="preserve"> -</w:t>
      </w:r>
      <w:r>
        <w:t xml:space="preserve"> </w:t>
        <w:t xml:space="preserve">H AMD TO LG COMM AMD (H-1755.1/23)</w:t>
      </w:r>
      <w:r>
        <w:t xml:space="preserve"> </w:t>
      </w:r>
      <w:r>
        <w:rPr>
          <w:b/>
        </w:rPr>
        <w:t xml:space="preserve">696</w:t>
      </w:r>
    </w:p>
    <w:p>
      <w:pPr>
        <w:spacing w:before="0" w:after="0" w:line="408" w:lineRule="exact"/>
        <w:ind w:left="0" w:right="0" w:firstLine="576"/>
        <w:jc w:val="left"/>
      </w:pPr>
      <w:r>
        <w:rPr/>
        <w:t xml:space="preserve">By Representative Fitzgibbon</w:t>
      </w:r>
    </w:p>
    <w:p>
      <w:pPr>
        <w:jc w:val="right"/>
      </w:pPr>
      <w:r>
        <w:rPr>
          <w:b/>
        </w:rPr>
        <w:t xml:space="preserve">WITHDRAWN 04/12/2023</w:t>
      </w:r>
    </w:p>
    <w:p>
      <w:pPr>
        <w:spacing w:before="0" w:after="0" w:line="408" w:lineRule="exact"/>
        <w:ind w:left="0" w:right="0" w:firstLine="576"/>
        <w:jc w:val="left"/>
      </w:pPr>
      <w:r>
        <w:rPr/>
        <w:t xml:space="preserve">On page 2, beginning on line 17, after "</w:t>
      </w:r>
      <w:r>
        <w:rPr>
          <w:u w:val="single"/>
        </w:rPr>
        <w:t xml:space="preserve">chapter.</w:t>
      </w:r>
      <w:r>
        <w:rPr/>
        <w:t xml:space="preserve">" strike all material through "</w:t>
      </w:r>
      <w:r>
        <w:rPr>
          <w:u w:val="single"/>
        </w:rPr>
        <w:t xml:space="preserve">The</w:t>
      </w:r>
      <w:r>
        <w:rPr/>
        <w:t xml:space="preserve">" on line 29 and insert "</w:t>
      </w:r>
      <w:r>
        <w:rPr>
          <w:u w:val="single"/>
        </w:rPr>
        <w:t xml:space="preserve">For purposes of this subsection, "middle housing" has the same meaning as in RCW 36.70A.030 as amended by chapter . . . (Engrossed Second Substitute House Bill No. 1110), Laws of 2023. Jurisdictions shall satisfy the following criteria prior to the adoption of the categorical exemption under this subsection (3):</w:t>
      </w:r>
    </w:p>
    <w:p>
      <w:pPr>
        <w:spacing w:before="0" w:after="0" w:line="408" w:lineRule="exact"/>
        <w:ind w:left="0" w:right="0" w:firstLine="576"/>
        <w:jc w:val="left"/>
      </w:pPr>
      <w:r>
        <w:rPr>
          <w:u w:val="single"/>
        </w:rPr>
        <w:t xml:space="preserve">(a) The city or county shall find the</w:t>
      </w:r>
      <w:r>
        <w:rPr/>
        <w:t xml:space="preserve">"</w:t>
      </w:r>
    </w:p>
    <w:p>
      <w:pPr>
        <w:spacing w:before="0" w:after="0" w:line="408" w:lineRule="exact"/>
        <w:ind w:left="0" w:right="0" w:firstLine="576"/>
        <w:jc w:val="left"/>
      </w:pPr>
      <w:r>
        <w:rPr/>
        <w:t xml:space="preserve">On page 2, beginning on line 35, after "</w:t>
      </w:r>
      <w:r>
        <w:rPr>
          <w:u w:val="single"/>
        </w:rPr>
        <w:t xml:space="preserve">or</w:t>
      </w:r>
      <w:r>
        <w:rPr/>
        <w:t xml:space="preserve">" strike all material through "</w:t>
      </w:r>
      <w:r>
        <w:rPr>
          <w:u w:val="single"/>
        </w:rPr>
        <w:t xml:space="preserve">adoption</w:t>
      </w:r>
      <w:r>
        <w:rPr/>
        <w:t xml:space="preserve">" on line 37 and insert "</w:t>
      </w:r>
      <w:r>
        <w:rPr>
          <w:u w:val="single"/>
        </w:rPr>
        <w:t xml:space="preserve">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u w:val="singl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town,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u w:val="single"/>
        </w:rPr>
        <w:t xml:space="preserve">(ii) Before finalizing the environmental analysis pursuant to (b)(i) of this subsection (3), the local government shall provide a minimum of 60 days' notice to affected tribes, relevant state agencies, other jurisdictions that may be impacted, and the public. If a local government identifies that mitigation measures are necessary to address specific probable adverse impacts, the local government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u w:val="single"/>
        </w:rPr>
        <w:t xml:space="preserve">(iii) The categorical exemption is effective 30 days following action by a local government pursuant to (b)(ii) of this subsection (3)</w:t>
      </w:r>
      <w:r>
        <w:rPr/>
        <w:t xml:space="preserve">"</w:t>
      </w:r>
    </w:p>
    <w:p>
      <w:pPr>
        <w:spacing w:before="0" w:after="0" w:line="408" w:lineRule="exact"/>
        <w:ind w:left="0" w:right="0" w:firstLine="576"/>
        <w:jc w:val="left"/>
      </w:pPr>
      <w:r>
        <w:rPr/>
        <w:t xml:space="preserve">On page 3, line 1, after "</w:t>
      </w:r>
      <w:r>
        <w:rPr>
          <w:u w:val="single"/>
        </w:rPr>
        <w:t xml:space="preserve">43.21C.110(1)(a).</w:t>
      </w:r>
      <w:r>
        <w:rPr/>
        <w:t xml:space="preserve">" insert "</w:t>
      </w:r>
      <w:r>
        <w:rPr>
          <w:u w:val="single"/>
        </w:rPr>
        <w:t xml:space="preserve">Nothing in this section shall invalidate categorical exemptions or environmental review procedures adopted by a local government under a planned action pursuant to RCW 43.21C.440.</w:t>
      </w:r>
      <w:r>
        <w:rPr/>
        <w:t xml:space="preserve">"</w:t>
      </w:r>
    </w:p>
    <w:p>
      <w:pPr>
        <w:spacing w:before="0" w:after="0" w:line="408" w:lineRule="exact"/>
        <w:ind w:left="0" w:right="0" w:firstLine="576"/>
        <w:jc w:val="left"/>
      </w:pPr>
      <w:r>
        <w:rPr>
          <w:u w:val="single"/>
        </w:rPr>
        <w:t xml:space="preserve">EFFECT:</w:t>
      </w:r>
      <w:r>
        <w:rPr/>
        <w:t xml:space="preserve"> Amends the criteria for a project action that develops residential housing units or middle housing within an urban growth area to be categorically exempt from the State Environmental Policy Act (SEPA) to require an environmental analysis that meets certain criteria, rather than requiring a local government's comprehensive plan to be previously subjected to an environmental analysis under SEPA. Requires local governments to provide notice to affected tribes, state agencies, other jurisdictions, and the public before finalizing an environmental analysis and to address identified probable adverse impacts within the environmental analysis. Provides that the categorical exemption is effective 30 days after specified actions are taken by a local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cc7e1466144c43" /></Relationships>
</file>