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c55accc5e4438" /></Relationships>
</file>

<file path=word/document.xml><?xml version="1.0" encoding="utf-8"?>
<w:document xmlns:w="http://schemas.openxmlformats.org/wordprocessingml/2006/main">
  <w:body>
    <w:p>
      <w:r>
        <w:rPr>
          <w:b/>
        </w:rPr>
        <w:r>
          <w:rPr/>
          <w:t xml:space="preserve">5412-S2</w:t>
        </w:r>
      </w:r>
      <w:r>
        <w:rPr>
          <w:b/>
        </w:rPr>
        <w:t xml:space="preserve"> </w:t>
        <w:t xml:space="preserve">AMH</w:t>
      </w:r>
      <w:r>
        <w:rPr>
          <w:b/>
        </w:rPr>
        <w:t xml:space="preserve"> </w:t>
        <w:r>
          <w:rPr/>
          <w:t xml:space="preserve">LG</w:t>
        </w:r>
      </w:r>
      <w:r>
        <w:rPr>
          <w:b/>
        </w:rPr>
        <w:t xml:space="preserve"> </w:t>
        <w:r>
          <w:rPr/>
          <w:t xml:space="preserve">H1755.1</w:t>
        </w:r>
      </w:r>
      <w:r>
        <w:rPr>
          <w:b/>
        </w:rPr>
        <w:t xml:space="preserve"> - NOT FOR FLOOR USE</w:t>
      </w:r>
    </w:p>
    <w:p>
      <w:pPr>
        <w:ind w:left="0" w:right="0" w:firstLine="576"/>
      </w:pPr>
    </w:p>
    <w:p>
      <w:pPr>
        <w:spacing w:before="480" w:after="0" w:line="408" w:lineRule="exact"/>
      </w:pPr>
      <w:r>
        <w:rPr>
          <w:b/>
          <w:u w:val="single"/>
        </w:rPr>
        <w:t xml:space="preserve">2SSB 5412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AS AMENDED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w:t>
      </w:r>
      <w:r>
        <w:rPr/>
        <w:t xml:space="preserve"> to accommodate infill </w:t>
      </w:r>
      <w:r>
        <w:rPr>
          <w:u w:val="single"/>
        </w:rPr>
        <w:t xml:space="preserve">and housing</w:t>
      </w:r>
      <w:r>
        <w:rPr/>
        <w:t xml:space="preserve"> development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is authorized by this section to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w:t>
      </w:r>
      <w:r>
        <w:t>))</w:t>
      </w:r>
      <w:r>
        <w:rPr/>
        <w:t xml:space="preserve"> An exemption may be adopted by a city or county under this </w:t>
      </w:r>
      <w:r>
        <w:rPr>
          <w:u w:val="single"/>
        </w:rPr>
        <w:t xml:space="preserve">sub</w:t>
      </w:r>
      <w:r>
        <w:rPr/>
        <w:t xml:space="preserve">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t>((</w:t>
      </w:r>
      <w:r>
        <w:rPr>
          <w:strike/>
        </w:rPr>
        <w:t xml:space="preserve">(2) Any</w:t>
      </w:r>
      <w:r>
        <w:t>))</w:t>
      </w:r>
      <w:r>
        <w:rPr/>
        <w:t xml:space="preserve"> </w:t>
      </w:r>
      <w:r>
        <w:rPr>
          <w:u w:val="single"/>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This categorical exemption applies to proposed projects that do not have existing or anticipated transportation system safety or operational deficiencies. A city or county must consult with the Washington state department of transportation to determine if anticipated transportation system safety or operation deficiencies exist in connection with a proposed project. For purposes of this subsection, "middle housing" means fourplexes, attached and detached accessory dwelling units, cottage housing, stacked flats, townhouses with more than four units, and courtyard apartments. A project action is eligible for categorical exemption under this subsection only if it meets the following criteria:</w:t>
      </w:r>
    </w:p>
    <w:p>
      <w:pPr>
        <w:spacing w:before="0" w:after="0" w:line="408" w:lineRule="exact"/>
        <w:ind w:left="0" w:right="0" w:firstLine="576"/>
        <w:jc w:val="left"/>
      </w:pPr>
      <w:r>
        <w:rPr>
          <w:u w:val="single"/>
        </w:rPr>
        <w:t xml:space="preserve">(a)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u w:val="single"/>
        </w:rPr>
        <w:t xml:space="preserve">(b) The city or county's applicable comprehensive plan was previously subjected to environmental analysis under the requirements of this chapter prior to adoption</w:t>
      </w:r>
      <w:r>
        <w:rPr>
          <w:u w:val="single"/>
        </w:rPr>
        <w:t xml:space="preserve">.</w:t>
      </w:r>
    </w:p>
    <w:p>
      <w:pPr>
        <w:spacing w:before="0" w:after="0" w:line="408" w:lineRule="exact"/>
        <w:ind w:left="0" w:right="0" w:firstLine="576"/>
        <w:jc w:val="left"/>
      </w:pPr>
      <w:r>
        <w:rPr>
          <w:u w:val="single"/>
        </w:rPr>
        <w:t xml:space="preserve">(4) Any categorical exemption adopted by a city or county under this section applies even if it differs from the categorical exemptions adopted by rule of the department under RCW 43.21C.110(1)(a). However, any</w:t>
      </w:r>
      <w:r>
        <w:rPr/>
        <w:t xml:space="preserve"> categorical exemption adopted by a city or county under this section shall be subject to the rules of the department adopted according to RCW 43.21C.110(1)(a) that provide exceptions to the use of categorical exemptions adopted by the department."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provisions modifying the design review process conducted by cities and counties planning under the Growth Management Act. Removes requirements related to adding additional project review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bfaaa5e3b84f60" /></Relationships>
</file>