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ad01ce89642e8" /></Relationships>
</file>

<file path=word/document.xml><?xml version="1.0" encoding="utf-8"?>
<w:document xmlns:w="http://schemas.openxmlformats.org/wordprocessingml/2006/main">
  <w:body>
    <w:p>
      <w:r>
        <w:rPr>
          <w:b/>
        </w:rPr>
        <w:r>
          <w:rPr/>
          <w:t xml:space="preserve">5440-S2.E</w:t>
        </w:r>
      </w:r>
      <w:r>
        <w:rPr>
          <w:b/>
        </w:rPr>
        <w:t xml:space="preserve"> </w:t>
        <w:t xml:space="preserve">AMH</w:t>
      </w:r>
      <w:r>
        <w:rPr>
          <w:b/>
        </w:rPr>
        <w:t xml:space="preserve"> </w:t>
        <w:r>
          <w:rPr/>
          <w:t xml:space="preserve">APP</w:t>
        </w:r>
      </w:r>
      <w:r>
        <w:rPr>
          <w:b/>
        </w:rPr>
        <w:t xml:space="preserve"> </w:t>
        <w:r>
          <w:rPr/>
          <w:t xml:space="preserve">H1864.2</w:t>
        </w:r>
      </w:r>
      <w:r>
        <w:rPr>
          <w:b/>
        </w:rPr>
        <w:t xml:space="preserve"> - NOT FOR FLOOR USE</w:t>
      </w:r>
    </w:p>
    <w:p>
      <w:pPr>
        <w:ind w:left="0" w:right="0" w:firstLine="576"/>
      </w:pPr>
      <w:r>
        <w:rPr/>
        <w:t xml:space="preserve"> </w:t>
      </w:r>
    </w:p>
    <w:p>
      <w:pPr>
        <w:spacing w:before="480" w:after="0" w:line="408" w:lineRule="exact"/>
      </w:pPr>
      <w:r>
        <w:rPr>
          <w:b/>
          <w:u w:val="single"/>
        </w:rPr>
        <w:t xml:space="preserve">E2SSB 5440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 without further detail required.</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w:t>
      </w:r>
      <w:r>
        <w:rPr>
          <w:u w:val="single"/>
        </w:rPr>
        <w:t xml:space="preserve">If the defendant suffers from an intellectual or developmental disability, traumatic brain injury, or dementia, an opinion as to restorability;</w:t>
      </w:r>
    </w:p>
    <w:p>
      <w:pPr>
        <w:spacing w:before="0" w:after="0" w:line="408" w:lineRule="exact"/>
        <w:ind w:left="0" w:right="0" w:firstLine="576"/>
        <w:jc w:val="left"/>
      </w:pPr>
      <w:r>
        <w:rPr>
          <w:u w:val="single"/>
        </w:rPr>
        <w:t xml:space="preserve">(e)</w:t>
      </w:r>
      <w:r>
        <w:rPr/>
        <w:t xml:space="preserve">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w:t>
      </w:r>
      <w:r>
        <w:t>((</w:t>
      </w:r>
      <w:r>
        <w:rPr>
          <w:strike/>
        </w:rPr>
        <w:t xml:space="preserve">(d)</w:t>
      </w:r>
      <w:r>
        <w:t>))</w:t>
      </w:r>
      <w:r>
        <w:rPr/>
        <w:t xml:space="preserve"> </w:t>
      </w:r>
      <w:r>
        <w:rPr>
          <w:u w:val="single"/>
        </w:rPr>
        <w:t xml:space="preserve">(e)</w:t>
      </w:r>
      <w:r>
        <w:rPr/>
        <w:t xml:space="preserve"> unless the evaluator or court determines that the defendant is competent to stand trial;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The court's order for inpatient restoration, shall specify whether the department has the authority to change the defendant's placement to a step-down facility or outpatient competency restoration program if the department determines that such placement is clinically appropriate given the defendant's progress in restoration services.</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w:t>
      </w:r>
      <w:r>
        <w:rPr>
          <w:u w:val="single"/>
        </w:rPr>
        <w:t xml:space="preserve">that is not a qualifying class C felony</w:t>
      </w:r>
      <w:r>
        <w:rPr/>
        <w:t xml:space="preserve">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(2)(a) If the defendant is charged with a qualifying class C felony as their highest charge and determined to be incompetent, and the court finds that there is a diversion program available to accept the defendant as recommended by a forensic navigator, the court shall dismiss the proceedings without prejudice and refer the defendant to the recommended diversion program, except that if the court has previously determined that a diversion program under section 10 of this act is not appropriate, the forensic navigator does not recommend diversion, or the prosecutor objects to the dismissal and provides notice of a motion for an order for competency restoration treatment, then the court shall schedule a hearing within seven days.</w:t>
      </w:r>
    </w:p>
    <w:p>
      <w:pPr>
        <w:spacing w:before="0" w:after="0" w:line="408" w:lineRule="exact"/>
        <w:ind w:left="0" w:right="0" w:firstLine="576"/>
        <w:jc w:val="left"/>
      </w:pPr>
      <w:r>
        <w:rPr>
          <w:u w:val="single"/>
        </w:rPr>
        <w:t xml:space="preserve">(b)(i)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(c) of this subsection.</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there is no compelling state interest in ordering competency restoration treatment.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u w:val="single"/>
        </w:rPr>
        <w:t xml:space="preserve">(c) If a court finds pursuant to (b) of this subsection that there is a compelling state interest in pursuing competency restoration treatment or the court has previously determined that a diversion program under section 10 of this act is not appropriate for the defendant,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 If the court does not order the defendant to receive outpatient competency restoration,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u w:val="single"/>
        </w:rPr>
        <w:t xml:space="preserve">(3)</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For a defendant whose highest charge is a class C felony </w:t>
      </w:r>
      <w:r>
        <w:rPr>
          <w:u w:val="single"/>
        </w:rPr>
        <w:t xml:space="preserve">that is not a qualifying class C felony</w:t>
      </w:r>
      <w:r>
        <w:rPr/>
        <w:t xml:space="preserve">,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(b) For a defendant whose highest charge is a qualifying class C felony, the maximum time allowed for competency restoration is 45 days if the defendant is referred for inpatient competency restoration, or 90 days if the defendant is referred for outpatient competency restoration. The court may order any combination of inpatient and outpatient competency restoration under this subsection, but the total period of inpatient competency restoration may not exceed 45 days.</w:t>
      </w:r>
    </w:p>
    <w:p>
      <w:pPr>
        <w:spacing w:before="0" w:after="0" w:line="408" w:lineRule="exact"/>
        <w:ind w:left="0" w:right="0" w:firstLine="576"/>
        <w:jc w:val="left"/>
      </w:pPr>
      <w:r>
        <w:rPr>
          <w:u w:val="single"/>
        </w:rPr>
        <w:t xml:space="preserve">(c) For any defendant with a felony charge that is admitted for competency restoration with an accompanying court order for involuntary medication under RCW 10.77.092, and the defendant is found not competent to stand trial following that period of restoration, charges shall be dismissed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 On</w:t>
      </w:r>
      <w:r>
        <w:t>))</w:t>
      </w:r>
      <w:r>
        <w:rPr/>
        <w:t xml:space="preserve"> </w:t>
      </w:r>
      <w:r>
        <w:rPr>
          <w:u w:val="single"/>
        </w:rPr>
        <w:t xml:space="preserve">(6) For a defendant charged with a felony that is not a qualifying class C felony, on</w:t>
      </w:r>
      <w:r>
        <w:rPr/>
        <w:t xml:space="preserve">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w:t>
      </w:r>
      <w:r>
        <w:rPr>
          <w:u w:val="single"/>
        </w:rPr>
        <w:t xml:space="preserve">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For a defendant charged with a felony that is not a qualifying class C felony,</w:t>
      </w:r>
      <w:r>
        <w:rPr/>
        <w:t xml:space="preserve"> the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"Qualifying class C felony" means any class C felony offense except: (a) Assault in the third degree under RCW 9A.36.031(1) (d) or (f); (b) felony physical control of a vehicle under RCW 46.61.504(6); (c) felony hit and run resulting in injury under RCW 46.52.020(4)(b); (d) hate crime offense under RCW 9A.36.080; (e) any class C felony offense with a domestic violence designation; (f) any class C felony sex offense as defined in RCW 9.94A.030; and (g) any class C felony offense with a sexual motivation allegation</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w:t>
      </w:r>
      <w:r>
        <w:rPr>
          <w:u w:val="single"/>
        </w:rPr>
        <w:t xml:space="preserve">(i)</w:t>
      </w:r>
      <w:r>
        <w:rPr/>
        <w:t xml:space="preserve">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there is no compelling state interest in ordering competency restoration treatment.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qualifying class C felony as defined in RCW 10.77.086(9) or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w:t>
      </w:r>
      <w:r>
        <w:t>((</w:t>
      </w:r>
      <w:r>
        <w:rPr>
          <w:strike/>
        </w:rPr>
        <w:t xml:space="preserve">serious traffic offense,</w:t>
      </w:r>
      <w:r>
        <w:t>))</w:t>
      </w:r>
      <w:r>
        <w:rPr/>
        <w:t xml:space="preserve"> and most serious offense, as those terms are defined in RCW 9.94A.030;</w:t>
      </w:r>
    </w:p>
    <w:p>
      <w:pPr>
        <w:spacing w:before="0" w:after="0" w:line="408" w:lineRule="exact"/>
        <w:ind w:left="0" w:right="0" w:firstLine="576"/>
        <w:jc w:val="left"/>
      </w:pPr>
      <w:r>
        <w:rPr/>
        <w:t xml:space="preserve">(b) Any </w:t>
      </w:r>
      <w:r>
        <w:rPr>
          <w:u w:val="single"/>
        </w:rPr>
        <w:t xml:space="preserve">felony</w:t>
      </w:r>
      <w:r>
        <w:rPr/>
        <w:t xml:space="preserve"> offense</w:t>
      </w:r>
      <w:r>
        <w:t>((</w:t>
      </w:r>
      <w:r>
        <w:rPr>
          <w:strike/>
        </w:rPr>
        <w:t xml:space="preserve">, except nonfelony counterfeiting offenses,</w:t>
      </w:r>
      <w:r>
        <w:t>))</w:t>
      </w:r>
      <w:r>
        <w:rPr/>
        <w:t xml:space="preserve"> included in crimes against persons in RCW 9.94A.411;</w:t>
      </w:r>
    </w:p>
    <w:p>
      <w:pPr>
        <w:spacing w:before="0" w:after="0" w:line="408" w:lineRule="exact"/>
        <w:ind w:left="0" w:right="0" w:firstLine="576"/>
        <w:jc w:val="left"/>
      </w:pPr>
      <w:r>
        <w:rPr/>
        <w:t xml:space="preserve">(c) Any </w:t>
      </w:r>
      <w:r>
        <w:rPr>
          <w:u w:val="single"/>
        </w:rPr>
        <w:t xml:space="preserve">felony</w:t>
      </w:r>
      <w:r>
        <w:rPr/>
        <w:t xml:space="preserve"> offense contained in chapter 9.41 RCW (firearms and dangerous weapons);</w:t>
      </w:r>
    </w:p>
    <w:p>
      <w:pPr>
        <w:spacing w:before="0" w:after="0" w:line="408" w:lineRule="exact"/>
        <w:ind w:left="0" w:right="0" w:firstLine="576"/>
        <w:jc w:val="left"/>
      </w:pPr>
      <w:r>
        <w:rPr/>
        <w:t xml:space="preserve">(d) Any </w:t>
      </w:r>
      <w:r>
        <w:rPr>
          <w:u w:val="single"/>
        </w:rPr>
        <w:t xml:space="preserve">felony or gross misdemeanor</w:t>
      </w:r>
      <w:r>
        <w:rPr/>
        <w:t xml:space="preserve"> offense listed as domestic violence in RCW 10.99.020;</w:t>
      </w:r>
    </w:p>
    <w:p>
      <w:pPr>
        <w:spacing w:before="0" w:after="0" w:line="408" w:lineRule="exact"/>
        <w:ind w:left="0" w:right="0" w:firstLine="576"/>
        <w:jc w:val="left"/>
      </w:pPr>
      <w:r>
        <w:rPr/>
        <w:t xml:space="preserve">(e) Any </w:t>
      </w:r>
      <w:r>
        <w:rPr>
          <w:u w:val="single"/>
        </w:rPr>
        <w:t xml:space="preserve">felony</w:t>
      </w:r>
      <w:r>
        <w:rPr/>
        <w:t xml:space="preserve"> offense listed as a harassment offense in chapter 9A.46 RCW;</w:t>
      </w:r>
    </w:p>
    <w:p>
      <w:pPr>
        <w:spacing w:before="0" w:after="0" w:line="408" w:lineRule="exact"/>
        <w:ind w:left="0" w:right="0" w:firstLine="576"/>
        <w:jc w:val="left"/>
      </w:pPr>
      <w:r>
        <w:rPr/>
        <w:t xml:space="preserve">(f) Any violation of chapter 69.50 RCW that is a class B felony; </w:t>
      </w:r>
      <w:r>
        <w:t>((</w:t>
      </w:r>
      <w:r>
        <w:rPr>
          <w:strike/>
        </w:rPr>
        <w:t xml:space="preserve">or</w:t>
      </w:r>
      <w:r>
        <w:t>))</w:t>
      </w:r>
    </w:p>
    <w:p>
      <w:pPr>
        <w:spacing w:before="0" w:after="0" w:line="408" w:lineRule="exact"/>
        <w:ind w:left="0" w:right="0" w:firstLine="576"/>
        <w:jc w:val="left"/>
      </w:pPr>
      <w:r>
        <w:rPr/>
        <w:t xml:space="preserve">(g) </w:t>
      </w:r>
      <w:r>
        <w:rPr>
          <w:u w:val="single"/>
        </w:rPr>
        <w:t xml:space="preserve">Any gross misdemeanor violation of RCW 46.61.502 or 46.61.504;</w:t>
      </w:r>
    </w:p>
    <w:p>
      <w:pPr>
        <w:spacing w:before="0" w:after="0" w:line="408" w:lineRule="exact"/>
        <w:ind w:left="0" w:right="0" w:firstLine="576"/>
        <w:jc w:val="left"/>
      </w:pPr>
      <w:r>
        <w:rPr>
          <w:u w:val="single"/>
        </w:rPr>
        <w:t xml:space="preserve">(h) Any gross misdemeanor offense with a sexual motivation allegation; or</w:t>
      </w:r>
    </w:p>
    <w:p>
      <w:pPr>
        <w:spacing w:before="0" w:after="0" w:line="408" w:lineRule="exact"/>
        <w:ind w:left="0" w:right="0" w:firstLine="576"/>
        <w:jc w:val="left"/>
      </w:pPr>
      <w:r>
        <w:rPr>
          <w:u w:val="single"/>
        </w:rPr>
        <w:t xml:space="preserve">(i)</w:t>
      </w:r>
      <w:r>
        <w:rPr/>
        <w:t xml:space="preserve">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Anytime the secretary seeks a court order authorizing the involuntary medication for purposes of competency restoration pursuant to RCW 10.77.084, the secretary's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 unless the highest current criminal charge is a violent offense or sex offense as defined in RCW 9.94A.030. A defendant with a prior finding under this subsection may only be referred for competency restoration services if the highest charge under the new proceedings is a violent offense or sex offense as defined in RCW 9.94A.030.</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services. This shall include updating the individual's service plan and identifying and coordinating potential funding for any additional supports to stabilize the individual in any setting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services for which the individual is eligible. This process must include identifying and coordinating funding for any additional supports that are needed to stabilize the individual in any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and not restorable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shall implement a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 The project will be implemented in three phases, beginning December 1, 2023, using an interdisciplinary approach across various settings and overlapping with existing resources, including those available to </w:t>
      </w:r>
      <w:r>
        <w:rPr>
          <w:i/>
        </w:rPr>
        <w:t xml:space="preserve">Trueblood</w:t>
      </w:r>
      <w:r>
        <w:rPr/>
        <w:t xml:space="preserve"> class members and services and supports they are eligible to receive from the department of social and health services. The department of social and health services shall collaborate with the University of Washington on this project, including assistance in identifying resources available to class members and determination of eligibility. By November 30, 2026, the University of Washington shall submit a report to the appropriate fiscal and policy committees of the legislature on the pilot project, including the pilot project's outcomes, data analysis, evaluation, and recommendations for improvement. In addition, the University of Washington shall report on the background of current and former </w:t>
      </w:r>
      <w:r>
        <w:rPr>
          <w:i/>
        </w:rPr>
        <w:t xml:space="preserve">Trueblood</w:t>
      </w:r>
      <w:r>
        <w:rPr/>
        <w:t xml:space="preserve"> class members with intellectual and developmental disabilities. The department of social and health services shall share data as needed to assist in report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 2024, the health care authority shall implement a pilot project in phase one </w:t>
      </w:r>
      <w:r>
        <w:rPr>
          <w:i/>
        </w:rPr>
        <w:t xml:space="preserve">Trueblood</w:t>
      </w:r>
      <w:r>
        <w:rPr/>
        <w:t xml:space="preserve"> settlement regions, by creating three behavioral health crisis systems regional coordinator positions in the Pierce, southwest, and Spokane behavioral health administrative services organization regions. The purpose of the pilot project is to support and assist key participants across the various local voluntary, involuntary, and forensic behavioral health systems to better understand the intersection of these systems, their essential role in and across the system, and how to effectively navigate impacted individuals to the best options based on their circumstances and needs, including by increasing the utilization of assisted outpatient treatment, outpatient competency restoration services, and diversion programs for people living with behavioral health conditions who are involved or likely to have involvement with the criminal legal system. </w:t>
      </w:r>
    </w:p>
    <w:p>
      <w:pPr>
        <w:spacing w:before="0" w:after="0" w:line="408" w:lineRule="exact"/>
        <w:ind w:left="0" w:right="0" w:firstLine="576"/>
        <w:jc w:val="left"/>
      </w:pPr>
      <w:r>
        <w:rPr/>
        <w:t xml:space="preserve">(2) In carrying out this pilot project, the behavioral health crisis systems regional coordinator shall familiarize themselves with key cross-system participants within the region, including but not limited to:</w:t>
      </w:r>
    </w:p>
    <w:p>
      <w:pPr>
        <w:spacing w:before="0" w:after="0" w:line="408" w:lineRule="exact"/>
        <w:ind w:left="0" w:right="0" w:firstLine="576"/>
        <w:jc w:val="left"/>
      </w:pPr>
      <w:r>
        <w:rPr/>
        <w:t xml:space="preserve">(a) Department of social and health services personnel and contractors, including those implementing the responsibilities outlined in chapter 10.77 RCW and Titles 71, 71A, and 74 RCW;</w:t>
      </w:r>
    </w:p>
    <w:p>
      <w:pPr>
        <w:spacing w:before="0" w:after="0" w:line="408" w:lineRule="exact"/>
        <w:ind w:left="0" w:right="0" w:firstLine="576"/>
        <w:jc w:val="left"/>
      </w:pPr>
      <w:r>
        <w:rPr/>
        <w:t xml:space="preserve">(b) Health care authority personnel and contractors, including those implementing the responsibilities outlined in chapter 10.77 RCW and Title 71 RCW;</w:t>
      </w:r>
    </w:p>
    <w:p>
      <w:pPr>
        <w:spacing w:before="0" w:after="0" w:line="408" w:lineRule="exact"/>
        <w:ind w:left="0" w:right="0" w:firstLine="576"/>
        <w:jc w:val="left"/>
      </w:pPr>
      <w:r>
        <w:rPr/>
        <w:t xml:space="preserve">(c) Behavioral health administrative services organization personnel and contractors implementing the functions outlined in RCW 71.24.045;</w:t>
      </w:r>
    </w:p>
    <w:p>
      <w:pPr>
        <w:spacing w:before="0" w:after="0" w:line="408" w:lineRule="exact"/>
        <w:ind w:left="0" w:right="0" w:firstLine="576"/>
        <w:jc w:val="left"/>
      </w:pPr>
      <w:r>
        <w:rPr/>
        <w:t xml:space="preserve">(d) Managed care organizations, including personnel implementing the responsibilities outlined in chapter 71.24 RCW and Title 74 RCW;</w:t>
      </w:r>
    </w:p>
    <w:p>
      <w:pPr>
        <w:spacing w:before="0" w:after="0" w:line="408" w:lineRule="exact"/>
        <w:ind w:left="0" w:right="0" w:firstLine="576"/>
        <w:jc w:val="left"/>
      </w:pPr>
      <w:r>
        <w:rPr/>
        <w:t xml:space="preserve">(e) Participants in the criminal legal system, including: Municipal, district, and superior court personnel; prosecutors; defense counsel representing people for whom there is a doubt as to competency; law enforcement agency personnel; and municipal and county jails;</w:t>
      </w:r>
    </w:p>
    <w:p>
      <w:pPr>
        <w:spacing w:before="0" w:after="0" w:line="408" w:lineRule="exact"/>
        <w:ind w:left="0" w:right="0" w:firstLine="576"/>
        <w:jc w:val="left"/>
      </w:pPr>
      <w:r>
        <w:rPr/>
        <w:t xml:space="preserve">(f) Local governments and tribal governments located within the region; and</w:t>
      </w:r>
    </w:p>
    <w:p>
      <w:pPr>
        <w:spacing w:before="0" w:after="0" w:line="408" w:lineRule="exact"/>
        <w:ind w:left="0" w:right="0" w:firstLine="576"/>
        <w:jc w:val="left"/>
      </w:pPr>
      <w:r>
        <w:rPr/>
        <w:t xml:space="preserve">(g) Community-based wraparound service providers, including housing and other supports for people involved in the behavioral health or criminal legal systems.</w:t>
      </w:r>
    </w:p>
    <w:p>
      <w:pPr>
        <w:spacing w:before="0" w:after="0" w:line="408" w:lineRule="exact"/>
        <w:ind w:left="0" w:right="0" w:firstLine="576"/>
        <w:jc w:val="left"/>
      </w:pPr>
      <w:r>
        <w:rPr/>
        <w:t xml:space="preserve">(3) The behavioral health crisis systems regional coordinators shall develop a robust understanding of the local voluntary, involuntary, and forensic behavioral health systems within the county or counties located within the behavioral health administrative services organization's region, including all system actors, policies, procedures, and programs across the state-operated and regional behavioral health, criminal legal, local government, and social services systems. The behavioral health crisis systems regional coordinators shall also:</w:t>
      </w:r>
    </w:p>
    <w:p>
      <w:pPr>
        <w:spacing w:before="0" w:after="0" w:line="408" w:lineRule="exact"/>
        <w:ind w:left="0" w:right="0" w:firstLine="576"/>
        <w:jc w:val="left"/>
      </w:pPr>
      <w:r>
        <w:rPr/>
        <w:t xml:space="preserve">(a) Identify challenges within these systems and develop strategies for improved coordination and access to services across systems;</w:t>
      </w:r>
    </w:p>
    <w:p>
      <w:pPr>
        <w:spacing w:before="0" w:after="0" w:line="408" w:lineRule="exact"/>
        <w:ind w:left="0" w:right="0" w:firstLine="576"/>
        <w:jc w:val="left"/>
      </w:pPr>
      <w:r>
        <w:rPr/>
        <w:t xml:space="preserve">(b) Work with local jurisdictions and the behavioral health administrative services organization, including the assisted outpatient treatment program coordinator established in RCW 71.24.045, to establish or improve assisted outpatient treatment programs, including increased utilization of assisted outpatient treatment for expanded populations;</w:t>
      </w:r>
    </w:p>
    <w:p>
      <w:pPr>
        <w:spacing w:before="0" w:after="0" w:line="408" w:lineRule="exact"/>
        <w:ind w:left="0" w:right="0" w:firstLine="576"/>
        <w:jc w:val="left"/>
      </w:pPr>
      <w:r>
        <w:rPr/>
        <w:t xml:space="preserve">(c) Work with local jurisdictions and the behavioral health administrative services organization to increase utilization of arrest and jail diversion programs;</w:t>
      </w:r>
    </w:p>
    <w:p>
      <w:pPr>
        <w:spacing w:before="0" w:after="0" w:line="408" w:lineRule="exact"/>
        <w:ind w:left="0" w:right="0" w:firstLine="576"/>
        <w:jc w:val="left"/>
      </w:pPr>
      <w:r>
        <w:rPr/>
        <w:t xml:space="preserve">(d) Work with local jurisdictions and the behavioral health administrative services organization to increase utilization of outpatient competency restoration program services; and</w:t>
      </w:r>
    </w:p>
    <w:p>
      <w:pPr>
        <w:spacing w:before="0" w:after="0" w:line="408" w:lineRule="exact"/>
        <w:ind w:left="0" w:right="0" w:firstLine="576"/>
        <w:jc w:val="left"/>
      </w:pPr>
      <w:r>
        <w:rPr/>
        <w:t xml:space="preserve">(e) Provide recommendations on statutory and regulatory changes needed to improve coordination and access to services across behavioral health systems to the joint legislative and executive committee on behavioral health established within the office of financial management in the omnibus appropriations act for the 2023-2025 biennium.</w:t>
      </w:r>
    </w:p>
    <w:p>
      <w:pPr>
        <w:spacing w:before="0" w:after="0" w:line="408" w:lineRule="exact"/>
        <w:ind w:left="0" w:right="0" w:firstLine="576"/>
        <w:jc w:val="left"/>
      </w:pPr>
      <w:r>
        <w:rPr/>
        <w:t xml:space="preserve">(4) By September 30, 2025, the health care authority shall provide a preliminary report to the appropriate fiscal and policy committees of the legislature on the progress and outcomes of the pilot project, including steps taken to address identified challenges and improve coordination and access to behavioral health services within each region, and steps taken to establish or improve access to, and expanded utilization of, assisted outpatient treatment, arrest and jail diversion program services, and outpatient competency restoration program services within each region. The report shall also include any recommended statutory changes that are needed to facilitate improved coordination and access to services across behavioral health systems. The authority shall submit a final report by September 1, 2026.</w:t>
      </w:r>
    </w:p>
    <w:p>
      <w:pPr>
        <w:spacing w:before="0" w:after="0" w:line="408" w:lineRule="exact"/>
        <w:ind w:left="0" w:right="0" w:firstLine="576"/>
        <w:jc w:val="left"/>
      </w:pPr>
      <w:r>
        <w:rPr/>
        <w:t xml:space="preserve">(5) The health care authority, the department of social and health services, and regional managed care organizations shall provide the behavioral health crisis systems regional coordinators with any information that supports the systems improvement work of the behavioral health crisis systems regional coordinator.</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w:t>
      </w:r>
      <w:r>
        <w:t>((</w:t>
      </w:r>
      <w:r>
        <w:rPr>
          <w:strike/>
        </w:rPr>
        <w:t xml:space="preserve">(f)</w:t>
      </w:r>
      <w:r>
        <w:t>))</w:t>
      </w:r>
      <w:r>
        <w:rPr/>
        <w:t xml:space="preserve"> </w:t>
      </w:r>
      <w:r>
        <w:rPr>
          <w:u w:val="single"/>
        </w:rPr>
        <w:t xml:space="preserve">(g)</w:t>
      </w:r>
      <w:r>
        <w:rPr/>
        <w:t xml:space="preserve">,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(5)(b)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when section 8 of this act takes effect.</w:t>
      </w:r>
    </w:p>
    <w:p>
      <w:pPr>
        <w:spacing w:before="0" w:after="0" w:line="408" w:lineRule="exact"/>
        <w:ind w:left="0" w:right="0" w:firstLine="576"/>
        <w:jc w:val="left"/>
      </w:pPr>
      <w:r>
        <w:rPr/>
        <w:t xml:space="preserve">(2) The department of social and health services shall provide written notice of the expiration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when a court determines if there is a genuine doubt as to competency, waiver of attorney-client privilege is not required, and defense counsel may file a declaration stating there is reason to believe a competency evaluation is necessary and the basis on which the defendant is believed to be incompetent without further detail required.</w:t>
      </w:r>
    </w:p>
    <w:p>
      <w:pPr>
        <w:spacing w:before="0" w:after="0" w:line="408" w:lineRule="exact"/>
        <w:ind w:left="0" w:right="0" w:firstLine="576"/>
        <w:jc w:val="left"/>
      </w:pPr>
      <w:r>
        <w:rPr/>
        <w:t xml:space="preserve">Allows access to records of the Aging and Long-Term Support Administration for purposes of competency evaluations and requires an evaluation report to include an opinion as to restorability if the defendant suffers from an intellectual or developmental disability, traumatic brain injury, or dementia.</w:t>
      </w:r>
    </w:p>
    <w:p>
      <w:pPr>
        <w:spacing w:before="0" w:after="0" w:line="408" w:lineRule="exact"/>
        <w:ind w:left="0" w:right="0" w:firstLine="576"/>
        <w:jc w:val="left"/>
      </w:pPr>
      <w:r>
        <w:rPr/>
        <w:t xml:space="preserve">Delays until October 1, 2023, provisions allowing a court to order driver's license revocation for a person found incompetent to stand trial who is charged with specified traffic offenses.</w:t>
      </w:r>
    </w:p>
    <w:p>
      <w:pPr>
        <w:spacing w:before="0" w:after="0" w:line="408" w:lineRule="exact"/>
        <w:ind w:left="0" w:right="0" w:firstLine="576"/>
        <w:jc w:val="left"/>
      </w:pPr>
      <w:r>
        <w:rPr/>
        <w:t xml:space="preserve">Establishes new competency restoration procedures for any "qualifying class C felony," defined as any class C felony except: (1) Assault 3 where bodily harm occurred; (2) felony Physical Control of a Vehicle or Hit and Run resulting in injury; (3) Hate Crime Offense; (4) a class C felony with a domestic violence designation; (5) a class C felony sex offense; and (6) a class C felony offense with a sexual motivation allegation.</w:t>
      </w:r>
    </w:p>
    <w:p>
      <w:pPr>
        <w:spacing w:before="0" w:after="0" w:line="408" w:lineRule="exact"/>
        <w:ind w:left="0" w:right="0" w:firstLine="576"/>
        <w:jc w:val="left"/>
      </w:pPr>
      <w:r>
        <w:rPr/>
        <w:t xml:space="preserve">Requires a forensic navigator to be appointed for, and to meet with, any person charged with a qualifying class C felony who has had two or more competency evaluations in 24 months on separate charges to determine the person's willingness to engage with diversion and to propose a diversion plan if recommended.</w:t>
      </w:r>
    </w:p>
    <w:p>
      <w:pPr>
        <w:spacing w:before="0" w:after="0" w:line="408" w:lineRule="exact"/>
        <w:ind w:left="0" w:right="0" w:firstLine="576"/>
        <w:jc w:val="left"/>
      </w:pPr>
      <w:r>
        <w:rPr/>
        <w:t xml:space="preserve">Provides that if a person whose highest charge is a qualifying class C felony is found incompetent and the court finds that there is a diversion program available to accept the defendant as recommended by a forensic navigator, the court must dismiss the charges without prejudice and refer the person to the diversion program, except that if the court has previously determined that a diversion program is not appropriate, the forensic navigator does not recommend diversion, or the prosecutor objects to the dismissal, the court must schedule a hearing within seven days to determine whether there is a compelling state interest in ordering competency restoration.</w:t>
      </w:r>
    </w:p>
    <w:p>
      <w:pPr>
        <w:spacing w:before="0" w:after="0" w:line="408" w:lineRule="exact"/>
        <w:ind w:left="0" w:right="0" w:firstLine="576"/>
        <w:jc w:val="left"/>
      </w:pPr>
      <w:r>
        <w:rPr/>
        <w:t xml:space="preserve">If the court finds a compelling state interest, the court must order outpatient competency restoration unless the court finds outpatient restoration inappropriate, in which case the court must order inpatient competency restoration.</w:t>
      </w:r>
    </w:p>
    <w:p>
      <w:pPr>
        <w:spacing w:before="0" w:after="0" w:line="408" w:lineRule="exact"/>
        <w:ind w:left="0" w:right="0" w:firstLine="576"/>
        <w:jc w:val="left"/>
      </w:pPr>
      <w:r>
        <w:rPr/>
        <w:t xml:space="preserve">Provides that competency restoration for a defendant charged with a qualifying class C felony is limited to one period of restoration treatment not exceeding 45 days if ordered to receive inpatient competency restoration and 90 days if ordered to receive outpatient competency restoration.</w:t>
      </w:r>
    </w:p>
    <w:p>
      <w:pPr>
        <w:spacing w:before="0" w:after="0" w:line="408" w:lineRule="exact"/>
        <w:ind w:left="0" w:right="0" w:firstLine="576"/>
        <w:jc w:val="left"/>
      </w:pPr>
      <w:r>
        <w:rPr/>
        <w:t xml:space="preserve">Provides that for any defendant with a felony charge admitted for competency restoration with an accompanying court order for involuntary medication, if the defendant is found not competent following that period of restoration, charges must be dismissed with prejudice and the defendant committed to the DSHS for evaluation under the Involuntary Treatment Act.</w:t>
      </w:r>
    </w:p>
    <w:p>
      <w:pPr>
        <w:spacing w:before="0" w:after="0" w:line="408" w:lineRule="exact"/>
        <w:ind w:left="0" w:right="0" w:firstLine="576"/>
        <w:jc w:val="left"/>
      </w:pPr>
      <w:r>
        <w:rPr/>
        <w:t xml:space="preserve">Provides that when criminal charges are dismissed and the defendant committed to the DSHS for evaluation under the ITA, if the defendant is already in a facility operated or contracted by the DSHS, the time periods for conducting the evaluation begin upon receipt by the DSHS of the court order dismissing the charges.</w:t>
      </w:r>
    </w:p>
    <w:p>
      <w:pPr>
        <w:spacing w:before="0" w:after="0" w:line="408" w:lineRule="exact"/>
        <w:ind w:left="0" w:right="0" w:firstLine="576"/>
        <w:jc w:val="left"/>
      </w:pPr>
      <w:r>
        <w:rPr/>
        <w:t xml:space="preserve">Limits the nonfelony offenses that are included as "serious offenses" for purposes of eligibility for competency restoration and involuntary medication orders to the following: Any gross misdemeanor offense with a domestic violence designation or a sexual motivation allegation; and gross misdemeanor violations of Driving Under the Influence or Physical Control of a Vehicle.</w:t>
      </w:r>
    </w:p>
    <w:p>
      <w:pPr>
        <w:spacing w:before="0" w:after="0" w:line="408" w:lineRule="exact"/>
        <w:ind w:left="0" w:right="0" w:firstLine="576"/>
        <w:jc w:val="left"/>
      </w:pPr>
      <w:r>
        <w:rPr/>
        <w:t xml:space="preserve">Requires forensic navigators to collaborate with available </w:t>
      </w:r>
      <w:r>
        <w:rPr>
          <w:i/>
        </w:rPr>
        <w:t xml:space="preserve">Trueblood</w:t>
      </w:r>
      <w:r>
        <w:rPr/>
        <w:t xml:space="preserve"> settlement diversion programs if they are accessible in the geographic location where criminal charges are filed.</w:t>
      </w:r>
    </w:p>
    <w:p>
      <w:pPr>
        <w:spacing w:before="0" w:after="0" w:line="408" w:lineRule="exact"/>
        <w:ind w:left="0" w:right="0" w:firstLine="576"/>
        <w:jc w:val="left"/>
      </w:pPr>
      <w:r>
        <w:rPr/>
        <w:t xml:space="preserve">Establishes additional requirements relating to persons found incompetent to stand trial due to an intellectual or developmental disability, dementia, or a traumatic brain injury, and delays these provisions until December 1, 2023, including:</w:t>
      </w:r>
    </w:p>
    <w:p>
      <w:pPr>
        <w:spacing w:before="0" w:after="0" w:line="408" w:lineRule="exact"/>
        <w:ind w:left="0" w:right="0" w:firstLine="576"/>
        <w:jc w:val="left"/>
      </w:pPr>
      <w:r>
        <w:rPr/>
        <w:t xml:space="preserve">(a) Providing that a person who has been found incompetent and not restorable due to an intellectual or developmental disability, dementia, or traumatic brain injury, may not be referred for competency restoration services unless the highest current criminal charge is a violent offense or sex offense.</w:t>
      </w:r>
    </w:p>
    <w:p>
      <w:pPr>
        <w:spacing w:before="0" w:after="0" w:line="408" w:lineRule="exact"/>
        <w:ind w:left="0" w:right="0" w:firstLine="576"/>
        <w:jc w:val="left"/>
      </w:pPr>
      <w:r>
        <w:rPr/>
        <w:t xml:space="preserve">(b) Requiring the Department of Social and Health Services (DSHS) to develop a process for connecting these individuals to available wraparound services and supports. Specifies requirements for individuals who are current clients of the DSHS, and for individuals who are not current clients, including connecting the person with the forensic navigator to determine if the person is eligible for any diversion, supportive housing, or case management programs as a </w:t>
      </w:r>
      <w:r>
        <w:rPr>
          <w:i/>
        </w:rPr>
        <w:t xml:space="preserve">Trueblood</w:t>
      </w:r>
      <w:r>
        <w:rPr/>
        <w:t xml:space="preserve"> class member.</w:t>
      </w:r>
    </w:p>
    <w:p>
      <w:pPr>
        <w:spacing w:before="0" w:after="0" w:line="408" w:lineRule="exact"/>
        <w:ind w:left="0" w:right="0" w:firstLine="576"/>
        <w:jc w:val="left"/>
      </w:pPr>
      <w:r>
        <w:rPr/>
        <w:t xml:space="preserve">Requires the University of Washington to implement a two-year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w:t>
      </w:r>
    </w:p>
    <w:p>
      <w:pPr>
        <w:spacing w:before="0" w:after="0" w:line="408" w:lineRule="exact"/>
        <w:ind w:left="0" w:right="0" w:firstLine="576"/>
        <w:jc w:val="left"/>
      </w:pPr>
      <w:r>
        <w:rPr/>
        <w:t xml:space="preserve">Beginning January 2, 2024, requires the Health Care Authority (HCA) to implement a pilot project in phase one </w:t>
      </w:r>
      <w:r>
        <w:rPr>
          <w:i/>
        </w:rPr>
        <w:t xml:space="preserve">Trueblood</w:t>
      </w:r>
      <w:r>
        <w:rPr/>
        <w:t xml:space="preserve"> settlement regions, by creating three behavioral health crisis systems regional coordinator positions in the Pierce, Southwest, and Spokane behavioral health administrative services organization regions. Specifies that the purpose of the pilot program is to support and assist participants across the voluntary, involuntary, and forensic behavioral health systems to better understand the intersection of these systems and develop strategies for improved coordination and access to services across systems, including by increasing the utilization of assisted outpatient treatment, outpatient competency restoration, and diversion programs. Requires the HCA to issue an initial report by September 30, 2025, and a final report by September 1, 2026.</w:t>
      </w:r>
    </w:p>
    <w:p>
      <w:pPr>
        <w:spacing w:before="0" w:after="0" w:line="408" w:lineRule="exact"/>
        <w:ind w:left="0" w:right="0" w:firstLine="576"/>
        <w:jc w:val="left"/>
      </w:pPr>
      <w:r>
        <w:rPr/>
        <w:t xml:space="preserve">Requires the DSHS when seeking a court order authorizing involuntary medication for purposes of competency restoration to also seek authorization to continue involuntary medication for purposes of maintaining the level of restoration in a jail or juvenile detention facility following the restoration period.</w:t>
      </w:r>
    </w:p>
    <w:p>
      <w:pPr>
        <w:spacing w:before="0" w:after="0" w:line="408" w:lineRule="exact"/>
        <w:ind w:left="0" w:right="0" w:firstLine="576"/>
        <w:jc w:val="left"/>
      </w:pPr>
      <w:r>
        <w:rPr/>
        <w:t xml:space="preserve">Requires the DSHS to establish a program to reimburse jails or juvenile detention facilities for the costs of any drugs the jail or juvenile detention facility does not otherwise have available and must continue prescribing to an individual who is medically stable on the drug.</w:t>
      </w:r>
    </w:p>
    <w:p>
      <w:pPr>
        <w:spacing w:before="0" w:after="0" w:line="408" w:lineRule="exact"/>
        <w:ind w:left="0" w:right="0" w:firstLine="576"/>
        <w:jc w:val="left"/>
      </w:pPr>
      <w:r>
        <w:rPr/>
        <w:t xml:space="preserve">Provides that crisis intervention specialists are subject to the security and background investigation requirements of jails.</w:t>
      </w:r>
    </w:p>
    <w:p>
      <w:pPr>
        <w:spacing w:before="0" w:after="0" w:line="408" w:lineRule="exact"/>
        <w:ind w:left="0" w:right="0" w:firstLine="576"/>
        <w:jc w:val="left"/>
      </w:pPr>
      <w:r>
        <w:rPr/>
        <w:t xml:space="preserve">Clarifies that if a defendant charged with a nonfelony or qualifying class C felony is subject to a civil involuntary treatment order or proceedings for involuntary treatment have been initiated, there is a presumption that there is no compelling interest in ordering competency restoration for the defendant.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bb18e97c04a82" /></Relationships>
</file>