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89a3e271d4935" /></Relationships>
</file>

<file path=word/document.xml><?xml version="1.0" encoding="utf-8"?>
<w:document xmlns:w="http://schemas.openxmlformats.org/wordprocessingml/2006/main">
  <w:body>
    <w:p>
      <w:r>
        <w:rPr>
          <w:b/>
        </w:rPr>
        <w:r>
          <w:rPr/>
          <w:t xml:space="preserve">5447-S.E</w:t>
        </w:r>
      </w:r>
      <w:r>
        <w:rPr>
          <w:b/>
        </w:rPr>
        <w:t xml:space="preserve"> </w:t>
        <w:t xml:space="preserve">AMH</w:t>
      </w:r>
      <w:r>
        <w:rPr>
          <w:b/>
        </w:rPr>
        <w:t xml:space="preserve"> </w:t>
        <w:r>
          <w:rPr/>
          <w:t xml:space="preserve">ENVI</w:t>
        </w:r>
      </w:r>
      <w:r>
        <w:rPr>
          <w:b/>
        </w:rPr>
        <w:t xml:space="preserve"> </w:t>
        <w:r>
          <w:rPr/>
          <w:t xml:space="preserve">H1698.1</w:t>
        </w:r>
      </w:r>
      <w:r>
        <w:rPr>
          <w:b/>
        </w:rPr>
        <w:t xml:space="preserve"> - NOT FOR FLOOR USE</w:t>
      </w:r>
    </w:p>
    <w:p>
      <w:pPr>
        <w:ind w:left="0" w:right="0" w:firstLine="576"/>
      </w:pPr>
      <w:r>
        <w:rPr/>
        <w:t xml:space="preserve"> </w:t>
      </w:r>
    </w:p>
    <w:p>
      <w:pPr>
        <w:spacing w:before="480" w:after="0" w:line="408" w:lineRule="exact"/>
      </w:pPr>
      <w:r>
        <w:rPr>
          <w:b/>
          <w:u w:val="single"/>
        </w:rPr>
        <w:t xml:space="preserve">ESSB 5447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To assess the potential cobenefits of alternative jet fuel for Washington's communities, by December 1, 2024, and December 1st of each year until such time as the joint legislative audit and review committee has completed its final report on the tax preferences contained in sections 9 through 12 of this act, the University of Washington's department of environmental and occupational health sciences, in collaboration with Washington State University, shall calculate emissions of ultrafine and fine particulate matter and sulfur oxides from the use of alternative jet fuel as compared to conventional fossil jet fuel, including the potential regional air quality benefits of any reductions. This emissions calculation shall be conducted for alternative jet fuel used from an international airport owned by a port district in a county with a population greater than 1,500,000. The University of Washington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the University of Washington the total annual volume of conventional and alternative jet fuel used for flights departing the airport by July 1, 2024, and July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"alternative jet fuel" to remove references to "petroleum or nonpetroleum sources."</w:t>
      </w:r>
    </w:p>
    <w:p>
      <w:pPr>
        <w:spacing w:before="0" w:after="0" w:line="408" w:lineRule="exact"/>
        <w:ind w:left="0" w:right="0" w:firstLine="576"/>
        <w:jc w:val="left"/>
      </w:pPr>
      <w:r>
        <w:rPr/>
        <w:t xml:space="preserve">Requires the clean fuels program report produced by the department of ecology to include the amount, generation date, and geographic origin of renewable thermal certificates representing the biomethane environmental attributes claimed by certain alternative fuels.</w:t>
      </w:r>
    </w:p>
    <w:p>
      <w:pPr>
        <w:spacing w:before="0" w:after="0" w:line="408" w:lineRule="exact"/>
        <w:ind w:left="0" w:right="0" w:firstLine="576"/>
        <w:jc w:val="left"/>
      </w:pPr>
      <w:r>
        <w:rPr/>
        <w:t xml:space="preserve">Modifies certain aspects of the air quality study called for in the act, including that the emissions calculation must be conducted for alternative jet fuel used from an international airport owned by a port district in a county with a population greater than 1,500,000, and that the University of Washington must produce the report in collaboration with Washington State University.</w:t>
      </w:r>
    </w:p>
    <w:p>
      <w:pPr>
        <w:spacing w:before="0" w:after="0" w:line="408" w:lineRule="exact"/>
        <w:ind w:left="0" w:right="0" w:firstLine="576"/>
        <w:jc w:val="left"/>
      </w:pPr>
      <w:r>
        <w:rPr/>
        <w:t xml:space="preserve">Strikes the section related to transfers of funds to the state general fund from accounts created pursuant to the climate commitment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ceeb3acf945b0" /></Relationships>
</file>