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2592549174f6d"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CALD</w:t>
        </w:r>
      </w:r>
      <w:r>
        <w:rPr>
          <w:b/>
        </w:rPr>
        <w:t xml:space="preserve"> </w:t>
        <w:r>
          <w:rPr/>
          <w:t xml:space="preserve">H3480.1</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AMD TO APP COMM AMD (H-3463.1/24)</w:t>
      </w:r>
      <w:r>
        <w:t xml:space="preserve"> </w:t>
      </w:r>
      <w:r>
        <w:rPr>
          <w:b/>
        </w:rPr>
        <w:t xml:space="preserve">1219</w:t>
      </w:r>
    </w:p>
    <w:p>
      <w:pPr>
        <w:spacing w:before="0" w:after="0" w:line="408" w:lineRule="exact"/>
        <w:ind w:left="0" w:right="0" w:firstLine="576"/>
        <w:jc w:val="left"/>
      </w:pPr>
      <w:r>
        <w:rPr/>
        <w:t xml:space="preserve">By Representative Caldier</w:t>
      </w:r>
    </w:p>
    <w:p>
      <w:pPr>
        <w:jc w:val="right"/>
      </w:pPr>
      <w:r>
        <w:rPr>
          <w:b/>
        </w:rPr>
        <w:t xml:space="preserve">NOT ADOPTED 02/29/2024</w:t>
      </w:r>
    </w:p>
    <w:p>
      <w:pPr>
        <w:spacing w:before="0" w:after="0" w:line="408" w:lineRule="exact"/>
        <w:ind w:left="0" w:right="0" w:firstLine="576"/>
        <w:jc w:val="left"/>
      </w:pPr>
      <w:r>
        <w:rPr/>
        <w:t xml:space="preserve">On page 9,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impacts of sections 2 through 4 of this act on student enrollments in school districts and the passage rates of school district levy and bond ballot measures. In meeting the requirements of this subsection, the Washington state institute for public policy must examine data for student enrollments and ballot measure passage rates before and after the effective date of this section.</w:t>
      </w:r>
    </w:p>
    <w:p>
      <w:pPr>
        <w:spacing w:before="0" w:after="0" w:line="408" w:lineRule="exact"/>
        <w:ind w:left="0" w:right="0" w:firstLine="576"/>
        <w:jc w:val="left"/>
      </w:pPr>
      <w:r>
        <w:rPr/>
        <w:t xml:space="preserve">(2) The evaluation required by this section must, in accordance with RCW 43.01.036, be reported by December 1, 2029, to the applicable committees of the legislature, the superintendent of public instruction, and the state board of education.</w:t>
      </w:r>
    </w:p>
    <w:p>
      <w:pPr>
        <w:spacing w:before="0" w:after="0" w:line="408" w:lineRule="exact"/>
        <w:ind w:left="0" w:right="0" w:firstLine="576"/>
        <w:jc w:val="left"/>
      </w:pPr>
      <w:r>
        <w:rPr/>
        <w:t xml:space="preserve">(3) This section expires June 30, 2030."</w:t>
      </w:r>
    </w:p>
    <w:p>
      <w:pPr>
        <w:spacing w:before="0" w:after="0" w:line="408" w:lineRule="exact"/>
        <w:ind w:left="0" w:right="0" w:firstLine="576"/>
        <w:jc w:val="left"/>
      </w:pPr>
      <w:r>
        <w:rPr>
          <w:u w:val="single"/>
        </w:rPr>
        <w:t xml:space="preserve">EFFECT:</w:t>
      </w:r>
      <w:r>
        <w:rPr/>
        <w:t xml:space="preserve"> (1) Requires the Washington State Institute for Public Policy to evaluate the impacts in the underlying striking amendment related to inclusive curricula and learning materials and state learning standards on: (a) Student enrollments; and (b) the passage rates of school district levy and bond ballot measures.</w:t>
      </w:r>
    </w:p>
    <w:p>
      <w:pPr>
        <w:spacing w:before="0" w:after="0" w:line="408" w:lineRule="exact"/>
        <w:ind w:left="0" w:right="0" w:firstLine="576"/>
        <w:jc w:val="left"/>
      </w:pPr>
      <w:r>
        <w:rPr/>
        <w:t xml:space="preserve">(2) Specifies that the evaluation must be provided to the Legislature, the Superintendent of Public Instruction, and the State Board of Education by December 1, 2029.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320146cc0469c" /></Relationships>
</file>