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6b90fcd6047dc" /></Relationships>
</file>

<file path=word/document.xml><?xml version="1.0" encoding="utf-8"?>
<w:document xmlns:w="http://schemas.openxmlformats.org/wordprocessingml/2006/main">
  <w:body>
    <w:p>
      <w:r>
        <w:rPr>
          <w:b/>
        </w:rPr>
        <w:r>
          <w:rPr/>
          <w:t xml:space="preserve">5497</w:t>
        </w:r>
      </w:r>
      <w:r>
        <w:rPr>
          <w:b/>
        </w:rPr>
        <w:t xml:space="preserve"> </w:t>
        <w:t xml:space="preserve">AMH</w:t>
      </w:r>
      <w:r>
        <w:rPr>
          <w:b/>
        </w:rPr>
        <w:t xml:space="preserve"> </w:t>
        <w:r>
          <w:rPr/>
          <w:t xml:space="preserve">APP</w:t>
        </w:r>
      </w:r>
      <w:r>
        <w:rPr>
          <w:b/>
        </w:rPr>
        <w:t xml:space="preserve"> </w:t>
        <w:r>
          <w:rPr/>
          <w:t xml:space="preserve">H1888.1</w:t>
        </w:r>
      </w:r>
      <w:r>
        <w:rPr>
          <w:b/>
        </w:rPr>
        <w:t xml:space="preserve"> - NOT FOR FLOOR USE</w:t>
      </w:r>
    </w:p>
    <w:p>
      <w:pPr>
        <w:ind w:left="0" w:right="0" w:firstLine="576"/>
      </w:pPr>
    </w:p>
    <w:p>
      <w:pPr>
        <w:spacing w:before="480" w:after="0" w:line="408" w:lineRule="exact"/>
      </w:pPr>
      <w:r>
        <w:rPr>
          <w:b/>
          <w:u w:val="single"/>
        </w:rPr>
        <w:t xml:space="preserve">SB 5497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 and sanctions;</w:t>
      </w:r>
    </w:p>
    <w:p>
      <w:pPr>
        <w:spacing w:before="0" w:after="0" w:line="408" w:lineRule="exact"/>
        <w:ind w:left="0" w:right="0" w:firstLine="576"/>
        <w:jc w:val="left"/>
      </w:pPr>
      <w:r>
        <w:rPr/>
        <w:t xml:space="preserve">(c) Directly auditing providers and:</w:t>
      </w:r>
    </w:p>
    <w:p>
      <w:pPr>
        <w:spacing w:before="0" w:after="0" w:line="408" w:lineRule="exact"/>
        <w:ind w:left="0" w:right="0" w:firstLine="576"/>
        <w:jc w:val="left"/>
      </w:pPr>
      <w:r>
        <w:rPr/>
        <w:t xml:space="preserve">(i) Recovering overpayments from the providers; or</w:t>
      </w:r>
    </w:p>
    <w:p>
      <w:pPr>
        <w:spacing w:before="0" w:after="0" w:line="408" w:lineRule="exact"/>
        <w:ind w:left="0" w:right="0" w:firstLine="576"/>
        <w:jc w:val="left"/>
      </w:pPr>
      <w:r>
        <w:rPr/>
        <w:t xml:space="preserve">(ii) Assessing liquidated damages against the managed care organizations;</w:t>
      </w:r>
    </w:p>
    <w:p>
      <w:pPr>
        <w:spacing w:before="0" w:after="0" w:line="408" w:lineRule="exact"/>
        <w:ind w:left="0" w:right="0" w:firstLine="576"/>
        <w:jc w:val="left"/>
      </w:pPr>
      <w:r>
        <w:rPr/>
        <w:t xml:space="preserve">(d) Ensuring recoveries and liquidated damages resulting from overpayments are properly accounted for and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codification of the Medicaid Expenditure Forecast Work Group (Work Group) and the agency responsibilities associated with supporting the Work Group and developing Medicaid expenditure forecasts.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1c8a09149487d" /></Relationships>
</file>