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d5d9a2dbf4121" /></Relationships>
</file>

<file path=word/document.xml><?xml version="1.0" encoding="utf-8"?>
<w:document xmlns:w="http://schemas.openxmlformats.org/wordprocessingml/2006/main">
  <w:body>
    <w:p>
      <w:r>
        <w:rPr>
          <w:b/>
        </w:rPr>
        <w:r>
          <w:rPr/>
          <w:t xml:space="preserve">5536-S2.E</w:t>
        </w:r>
      </w:r>
      <w:r>
        <w:rPr>
          <w:b/>
        </w:rPr>
        <w:t xml:space="preserve"> </w:t>
        <w:t xml:space="preserve">AMH</w:t>
      </w:r>
      <w:r>
        <w:rPr>
          <w:b/>
        </w:rPr>
        <w:t xml:space="preserve"> </w:t>
        <w:r>
          <w:rPr/>
          <w:t xml:space="preserve">APP</w:t>
        </w:r>
      </w:r>
      <w:r>
        <w:rPr>
          <w:b/>
        </w:rPr>
        <w:t xml:space="preserve"> </w:t>
        <w:r>
          <w:rPr/>
          <w:t xml:space="preserve">H1850.3</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 is a treatable brain disease from which people can and do recover. When individuals in active addiction are provided with access to quality outreach, treatment, and recovery support services, recovery is not only possible, but probable. Solutions to the addiction crisis must not only address criminal legal responses, but must be data-driven and evidence-based, and must represent public health best practices, working directly with people who use drugs to prevent overdose and infectious disease transmission, and improve the physical, mental, and social well-being of those served. The state must follow principles of harm reduction, comprising practical strategies aimed at reducing negative consequences associated with drug use, including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recognizes that substance use disorder is commonly treated in a variety of settings, including primary care, addiction medicine, mental health agencies, and substance use disorder treatment providers. Because medications such as buprenorphine and methadone are the clinical best practice for the treatment of opioid use disorder, individuals seeking treatment for addiction to heroin, fentanyl, and other opioids frequently seek recovery via primary care, addiction medicine, and opioid treatment programs.</w:t>
      </w:r>
    </w:p>
    <w:p>
      <w:pPr>
        <w:spacing w:before="0" w:after="0" w:line="408" w:lineRule="exact"/>
        <w:ind w:left="0" w:right="0" w:firstLine="576"/>
        <w:jc w:val="left"/>
      </w:pPr>
      <w:r>
        <w:rPr/>
        <w:t xml:space="preserve">The legislature finds that the recommendations of the substance use recovery services advisory committee reflect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possess and use a counterfeit substance in a public place by injection, inhalation, ingestion, or any other means</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(1)(b) or (c) of this section,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(d)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possess and use a controlled substance in a public place by injection, inhalation, ingestion, or any other means,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Upon arraignment for a violation of subsection (1)(a) or (b) of this section, the court shall determine whether the defendant has been advised by the defendant's counsel about the pretrial diversion opportunity described in section 10 of this act</w:t>
      </w:r>
      <w:r>
        <w:rPr/>
        <w:t xml:space="preserve">.</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Upon arraignment for violation of this section, the court shall determine whether the defendant has been advised by the defendant's counsel about the pretrial diversion opportunity described in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possess and use any legend drug in a public place by injection, inhalation, ingestion, or any other means,</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possession and use in a public place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(d) In lieu of jail booking and referral to the prosecutor for a violation of this section involving knowing possession, or knowing possession and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(e) Upon arraignment for a violation of this section involving knowing possession, or knowing possession and use in a public place, the court shall determine whether the defendant has been advised by the defendant's counsel about the pretrial diversion opportunity described in section 10 of this act.</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III - Providing Opportunities for Pretrial Diversion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and in any case where the only additional charge or charges against the defendant are for other nonfelony offenses that are not crimes against persons.</w:t>
      </w:r>
    </w:p>
    <w:p>
      <w:pPr>
        <w:spacing w:before="0" w:after="0" w:line="408" w:lineRule="exact"/>
        <w:ind w:left="0" w:right="0" w:firstLine="576"/>
        <w:jc w:val="left"/>
      </w:pPr>
      <w:r>
        <w:rPr/>
        <w:t xml:space="preserve">(b)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an applicable program.</w:t>
      </w:r>
    </w:p>
    <w:p>
      <w:pPr>
        <w:spacing w:before="0" w:after="0" w:line="408" w:lineRule="exact"/>
        <w:ind w:left="0" w:right="0" w:firstLine="576"/>
        <w:jc w:val="left"/>
      </w:pPr>
      <w:r>
        <w:rPr/>
        <w:t xml:space="preserve">(c) In any case where the defendant does not meet the criteria described in (b) of this subsection, the court may grant the motion, continue the hearing, and refer the defendant to an applicable program.</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applicable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(11)(d)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restitution,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 and</w:t>
      </w:r>
    </w:p>
    <w:p>
      <w:pPr>
        <w:spacing w:before="0" w:after="0" w:line="408" w:lineRule="exact"/>
        <w:ind w:left="0" w:right="0" w:firstLine="576"/>
        <w:jc w:val="left"/>
      </w:pPr>
      <w:r>
        <w:rPr/>
        <w:t xml:space="preserve">(g) A clear statement that if the defendant's biopsychosocial assessment results in a written report recommending no treatment or services, completion of pretrial diversion will instead be based on the defendant's completion of an amount of community restitution to be determined by the court, but not to exceed 120 hours of community restitution.</w:t>
      </w:r>
    </w:p>
    <w:p>
      <w:pPr>
        <w:spacing w:before="0" w:after="0" w:line="408" w:lineRule="exact"/>
        <w:ind w:left="0" w:right="0" w:firstLine="576"/>
        <w:jc w:val="left"/>
      </w:pPr>
      <w:r>
        <w:rPr/>
        <w:t xml:space="preserve">(4) The applicable program must make a written report to the court stating its findings and recommendations after the biopsychosocial assessment if the defendant decides to continue pursuing pretrial diversion. The report shall be filed under seal with the court, and a copy of the report shall be given to the prosecuting attorney, defendant, and defendant's counsel. The report and its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biopsychosocial assessment and recommended services or treatment must be provided at no cost for individuals who have been found to be indigent by the court.</w:t>
      </w:r>
    </w:p>
    <w:p>
      <w:pPr>
        <w:spacing w:before="0" w:after="0" w:line="408" w:lineRule="exact"/>
        <w:ind w:left="0" w:right="0" w:firstLine="576"/>
        <w:jc w:val="left"/>
      </w:pPr>
      <w:r>
        <w:rPr/>
        <w:t xml:space="preserve">(6) Once the biopsychosocial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 and shall require the individual to surrender all firearms in accordance with RCW 9.41.804.</w:t>
      </w:r>
    </w:p>
    <w:p>
      <w:pPr>
        <w:spacing w:before="0" w:after="0" w:line="408" w:lineRule="exact"/>
        <w:ind w:left="0" w:right="0" w:firstLine="576"/>
        <w:jc w:val="left"/>
      </w:pPr>
      <w:r>
        <w:rPr/>
        <w:t xml:space="preserve">(7) If the report does not recommend any treatment or services, the defendant must instead complete an amount of community restitution as determined by the court, but not to exceed 120 hours of community restitution, in order to complete pretrial diversion.</w:t>
      </w:r>
    </w:p>
    <w:p>
      <w:pPr>
        <w:spacing w:before="0" w:after="0" w:line="408" w:lineRule="exact"/>
        <w:ind w:left="0" w:right="0" w:firstLine="576"/>
        <w:jc w:val="left"/>
      </w:pPr>
      <w:r>
        <w:rPr/>
        <w:t xml:space="preserve">(8) No statement, or any information procured therefrom relating to the charge for which the defendant is receiving services, made by the defendant to any treatment or service provider, that is made during the course of any biopsychosocial assessment or services provided by the applicable program,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(11)(a) If it appears to the prosecuting attorney that the defendant is not meaningfully engaging in the recommended treatment or services or, if applicable, the community restitution,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If the court finds that the defendant is not meaningfully engaging in the recommended treatment or services or, if applicable, the community restitution, the court must schedule the matter for further proceedings.</w:t>
      </w:r>
    </w:p>
    <w:p>
      <w:pPr>
        <w:spacing w:before="0" w:after="0" w:line="408" w:lineRule="exact"/>
        <w:ind w:left="0" w:right="0" w:firstLine="576"/>
        <w:jc w:val="left"/>
      </w:pPr>
      <w:r>
        <w:rPr/>
        <w:t xml:space="preserve">(d)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(i) If the written report prepared by the applicable program included recommended treatment or services, the defendant successfully completes pretrial diversion by having six months of meaningful engagement with assessment and recommended treatment or services and progress toward recovery goals, as reflected by a written status update from the applicable program; or</w:t>
      </w:r>
    </w:p>
    <w:p>
      <w:pPr>
        <w:spacing w:before="0" w:after="0" w:line="408" w:lineRule="exact"/>
        <w:ind w:left="0" w:right="0" w:firstLine="576"/>
        <w:jc w:val="left"/>
      </w:pPr>
      <w:r>
        <w:rPr/>
        <w:t xml:space="preserve">(ii) If the written report prepared by the applicable program did not include recommended treatment or services, the defendant successfully completes pretrial diversion by completing the community restitution described under subsection (7) of this section and submitting proof of completion to the court.</w:t>
      </w:r>
    </w:p>
    <w:p>
      <w:pPr>
        <w:spacing w:before="0" w:after="0" w:line="408" w:lineRule="exact"/>
        <w:ind w:left="0" w:right="0" w:firstLine="576"/>
        <w:jc w:val="left"/>
      </w:pPr>
      <w:r>
        <w:rPr/>
        <w:t xml:space="preserve">(12) For the purposes of this section, "applicable program" means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Prior to sentencing any person convicted of violating RCW 69.50.4011(1) (b) or (c), 69.50.4013, 69.50.4014, or 69.41.030(2) (b) or (c),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 In courts of limited jurisdiction, if an individual who is convicted of a violation of RCW 69.50.4011(1) (b) or (c), 69.50.4013, 69.50.4014, or 69.41.030(2) (b) or (c) agrees as a condition of probation to obtain a biopsychosocial assessment by an applicable program and participate in any recommended treatment or services, or, if the applicable program recommends no treatment or services, to complete court-ordered community restitution, the court shall sentence the individual to a term of confinement of up to 90 days, all of which shall be suspended for a period not to exceed one year.</w:t>
      </w:r>
    </w:p>
    <w:p>
      <w:pPr>
        <w:spacing w:before="0" w:after="0" w:line="408" w:lineRule="exact"/>
        <w:ind w:left="0" w:right="0" w:firstLine="576"/>
        <w:jc w:val="left"/>
      </w:pPr>
      <w:r>
        <w:rPr/>
        <w:t xml:space="preserve">(3) A biopsychosocial assessment shall be prepared by an applicable program. A copy of the assessment shall be forwarded to the court and filed under seal. Based on the assessment, the court shall determine whether the person shall be required to complete a course in an alcohol and drug information school licensed or certified by the department of health or more sustained services provided by a licensed behavioral health care provider, peer counseling program, or other case management program.</w:t>
      </w:r>
    </w:p>
    <w:p>
      <w:pPr>
        <w:spacing w:before="0" w:after="0" w:line="408" w:lineRule="exact"/>
        <w:ind w:left="0" w:right="0" w:firstLine="576"/>
        <w:jc w:val="left"/>
      </w:pPr>
      <w:r>
        <w:rPr/>
        <w:t xml:space="preserve">(a) Once the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(b) Once the assessment has been filed with the court, if the report does not recommend any treatment or services, the court shall order the defendant to complete an amount of community restitution not to exceed 120 hours as a term of probation.</w:t>
      </w:r>
    </w:p>
    <w:p>
      <w:pPr>
        <w:spacing w:before="0" w:after="0" w:line="408" w:lineRule="exact"/>
        <w:ind w:left="0" w:right="0" w:firstLine="576"/>
        <w:jc w:val="left"/>
      </w:pPr>
      <w:r>
        <w:rPr/>
        <w:t xml:space="preserve">(c) The assessment shall include the following:</w:t>
      </w:r>
    </w:p>
    <w:p>
      <w:pPr>
        <w:spacing w:before="0" w:after="0" w:line="408" w:lineRule="exact"/>
        <w:ind w:left="0" w:right="0" w:firstLine="576"/>
        <w:jc w:val="left"/>
      </w:pPr>
      <w:r>
        <w:rPr/>
        <w:t xml:space="preserve">(i) Available background on the defendant's circumstances, barriers, and past service history, if any;</w:t>
      </w:r>
    </w:p>
    <w:p>
      <w:pPr>
        <w:spacing w:before="0" w:after="0" w:line="408" w:lineRule="exact"/>
        <w:ind w:left="0" w:right="0" w:firstLine="576"/>
        <w:jc w:val="left"/>
      </w:pPr>
      <w:r>
        <w:rPr/>
        <w:t xml:space="preserve">(ii) Nature of barriers and challenges;</w:t>
      </w:r>
    </w:p>
    <w:p>
      <w:pPr>
        <w:spacing w:before="0" w:after="0" w:line="408" w:lineRule="exact"/>
        <w:ind w:left="0" w:right="0" w:firstLine="576"/>
        <w:jc w:val="left"/>
      </w:pPr>
      <w:r>
        <w:rPr/>
        <w:t xml:space="preserve">(iii) Recommendations for services available in the individual's community that are likely to work with the individual and provide relevant support;</w:t>
      </w:r>
    </w:p>
    <w:p>
      <w:pPr>
        <w:spacing w:before="0" w:after="0" w:line="408" w:lineRule="exact"/>
        <w:ind w:left="0" w:right="0" w:firstLine="576"/>
        <w:jc w:val="left"/>
      </w:pPr>
      <w:r>
        <w:rPr/>
        <w:t xml:space="preserve">(iv) A statement of unavailability if there are no known suitable services presently available in the individual's community that would meaningfully assist the individual; and</w:t>
      </w:r>
    </w:p>
    <w:p>
      <w:pPr>
        <w:spacing w:before="0" w:after="0" w:line="408" w:lineRule="exact"/>
        <w:ind w:left="0" w:right="0" w:firstLine="576"/>
        <w:jc w:val="left"/>
      </w:pPr>
      <w:r>
        <w:rPr/>
        <w:t xml:space="preserve">(v) Approximate cost of the services if not publicly provided.</w:t>
      </w:r>
    </w:p>
    <w:p>
      <w:pPr>
        <w:spacing w:before="0" w:after="0" w:line="408" w:lineRule="exact"/>
        <w:ind w:left="0" w:right="0" w:firstLine="576"/>
        <w:jc w:val="left"/>
      </w:pPr>
      <w:r>
        <w:rPr/>
        <w:t xml:space="preserve">(4) A person subject to biopsychosocial assessment and treatment or services shall be required by the court to meaningfully engage in more sustained services provided by a licensed behavioral health care provider, peer counseling program, or other case management program, as determined by the court.</w:t>
      </w:r>
    </w:p>
    <w:p>
      <w:pPr>
        <w:spacing w:before="0" w:after="0" w:line="408" w:lineRule="exact"/>
        <w:ind w:left="0" w:right="0" w:firstLine="576"/>
        <w:jc w:val="left"/>
      </w:pPr>
      <w:r>
        <w:rPr/>
        <w:t xml:space="preserve">(5) If the court directs a service plan after receiving an individual's assessment, the court shall confirm with the individual's indicated service provider that the service provider consents to providing the court with occasional updates on the individual's progress on a schedule acceptable to the court. The updates must be provided at least monthly.</w:t>
      </w:r>
    </w:p>
    <w:p>
      <w:pPr>
        <w:spacing w:before="0" w:after="0" w:line="408" w:lineRule="exact"/>
        <w:ind w:left="0" w:right="0" w:firstLine="576"/>
        <w:jc w:val="left"/>
      </w:pPr>
      <w:r>
        <w:rPr/>
        <w:t xml:space="preserve">(6) Subject to the availability of funds appropriated for this purpose, the recommended treatment or services as ordered by the court shall be provided at no cost for sentenced individuals who have been found to be indigent by the court.</w:t>
      </w:r>
    </w:p>
    <w:p>
      <w:pPr>
        <w:spacing w:before="0" w:after="0" w:line="408" w:lineRule="exact"/>
        <w:ind w:left="0" w:right="0" w:firstLine="576"/>
        <w:jc w:val="left"/>
      </w:pPr>
      <w:r>
        <w:rPr/>
        <w:t xml:space="preserve">(7) As a condition of probation, the sentenced individual must meaningfully engage with the treatment or services recommendations of the biopsychosocial assessment.</w:t>
      </w:r>
    </w:p>
    <w:p>
      <w:pPr>
        <w:spacing w:before="0" w:after="0" w:line="408" w:lineRule="exact"/>
        <w:ind w:left="0" w:right="0" w:firstLine="576"/>
        <w:jc w:val="left"/>
      </w:pPr>
      <w:r>
        <w:rPr/>
        <w:t xml:space="preserve">(8)(a) If it appears to the prosecuting attorney that the sentenced individual is not meaningfully engaging in the recommended treatment or services, or, if applicable, not completing the court-ordered community restitution, the prosecuting attorney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The court may not sanction an individual for failing to comply with the recommended treatment or services if the court finds the sentenced individual has made reasonable efforts to comply with the recommended treatment but cannot comply either due to a lack of available treatment or services or, for sentenced individuals found to be indigent by the court, due to a lack of funding for treatment or services.</w:t>
      </w:r>
    </w:p>
    <w:p>
      <w:pPr>
        <w:spacing w:before="0" w:after="0" w:line="408" w:lineRule="exact"/>
        <w:ind w:left="0" w:right="0" w:firstLine="576"/>
        <w:jc w:val="left"/>
      </w:pPr>
      <w:r>
        <w:rPr/>
        <w:t xml:space="preserve">(c) At the hearing, if the court finds by a preponderance of the evidence that the sentenced individual has willfully abandoned or demonstrated a consistent failure to meaningfully engage in the recommended treatment or services, or, if applicable, is failing to complete the court-ordered community restitution, the court shall use its discretion in determining an appropriate sanction.</w:t>
      </w:r>
    </w:p>
    <w:p>
      <w:pPr>
        <w:spacing w:before="0" w:after="0" w:line="408" w:lineRule="exact"/>
        <w:ind w:left="0" w:right="0" w:firstLine="576"/>
        <w:jc w:val="left"/>
      </w:pPr>
      <w:r>
        <w:rPr/>
        <w:t xml:space="preserve">(9) An individual sentenced under subsection (2) of this section may vacate their conviction for a violation of RCW 69.50.4011(1) (b) or (c), 69.50.4013, 69.50.4014, or 69.41.030(2) (b) or (c) as follows:</w:t>
      </w:r>
    </w:p>
    <w:p>
      <w:pPr>
        <w:spacing w:before="0" w:after="0" w:line="408" w:lineRule="exact"/>
        <w:ind w:left="0" w:right="0" w:firstLine="576"/>
        <w:jc w:val="left"/>
      </w:pPr>
      <w:r>
        <w:rPr/>
        <w:t xml:space="preserve">(a) If the individual has successfully completed the recommended treatment or services, or, if applicable, the court-ordered community restitution, the individual must file proof of successful completion with the court. Upon verification of such proof, the court must terminate probation and enter an order vacating the individual's conviction.</w:t>
      </w:r>
    </w:p>
    <w:p>
      <w:pPr>
        <w:spacing w:before="0" w:after="0" w:line="408" w:lineRule="exact"/>
        <w:ind w:left="0" w:right="0" w:firstLine="576"/>
        <w:jc w:val="left"/>
      </w:pPr>
      <w:r>
        <w:rPr/>
        <w:t xml:space="preserve">(b) Regardless of whether the individual has completed recommended treatment or services, or the court-ordered community restitution, if the individual has had no additional arrests, charges, or criminal convictions in the one year after the individual's conviction for a violation of RCW 69.50.4011(1) (b) or (c), 69.50.4013, 69.50.4014, or 69.41.030(2) (b) or (c), the prosecutor shall make a motion to the court for an order vacating the individual's conviction, and the court shall terminate probation and enter an order vacating the individual's conviction.</w:t>
      </w:r>
    </w:p>
    <w:p>
      <w:pPr>
        <w:spacing w:before="0" w:after="0" w:line="408" w:lineRule="exact"/>
        <w:ind w:left="0" w:right="0" w:firstLine="576"/>
        <w:jc w:val="left"/>
      </w:pPr>
      <w:r>
        <w:rPr/>
        <w:t xml:space="preserve">(10) For the purposes of this section, "applicable program" means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w:t>
      </w:r>
      <w:r>
        <w:rPr>
          <w:u w:val="single"/>
        </w:rPr>
        <w:t xml:space="preserve">and section 11 of this act</w:t>
      </w:r>
      <w:r>
        <w:rPr/>
        <w:t xml:space="preserve">,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w:t>
      </w:r>
      <w:r>
        <w:rPr>
          <w:u w:val="single"/>
        </w:rPr>
        <w:t xml:space="preserve">(a) If an individual convicted of a violation or violations of RCW 69.50.4011(1) (b) or (c), 69.50.4013, 69.50.4014, or 69.41.030(2) (b) or (c) successfully completes the recommended treatment or services and files proof of completion with the court, the prosecutor shall make a motion to vacate the individual's conviction or convictions. Upon verification that the individual successfully completed the treatment program or services, the court shall grant the motion and vacate the conviction or convictions.</w:t>
      </w:r>
    </w:p>
    <w:p>
      <w:pPr>
        <w:spacing w:before="0" w:after="0" w:line="408" w:lineRule="exact"/>
        <w:ind w:left="0" w:right="0" w:firstLine="576"/>
        <w:jc w:val="left"/>
      </w:pPr>
      <w:r>
        <w:rPr>
          <w:u w:val="single"/>
        </w:rPr>
        <w:t xml:space="preserve">(b) Regardless of whether the individual has completed the recommended treatment or services, if the individual has had no additional criminal arrests, charges, or convictions in the one year after the individual's conviction for a violation of RCW 69.50.4011(1) (b) or (c), 69.50.4013, 69.50.4014, or 69.41.030(2) (b) or (c), the prosecutor shall make a motion to the court for an order vacating the individual's conviction, and the court shall grant the motion and enter an order vacating the individual's conviction.</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collect data and information related to the utilization and outcomes of pretrial diversions pursuant to section 10 of this act, convictions pursuant to section 11 of this act, and motions for vacating convictions pursuant to RCW 9.96.060(6), including but not limited to the following:</w:t>
      </w:r>
    </w:p>
    <w:p>
      <w:pPr>
        <w:spacing w:before="0" w:after="0" w:line="408" w:lineRule="exact"/>
        <w:ind w:left="0" w:right="0" w:firstLine="576"/>
        <w:jc w:val="left"/>
      </w:pPr>
      <w:r>
        <w:rPr/>
        <w:t xml:space="preserve">(a) The recidivism rate for persons who either participated in a pretrial diversion pursuant to section 10 of this act, or who were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(b) The number of pretrial diversions offered pursuant to section 10 of this act and whether such diversions were terminated, were successfully completed and resulted in a dismissal, or are still ongoing;</w:t>
      </w:r>
    </w:p>
    <w:p>
      <w:pPr>
        <w:spacing w:before="0" w:after="0" w:line="408" w:lineRule="exact"/>
        <w:ind w:left="0" w:right="0" w:firstLine="576"/>
        <w:jc w:val="left"/>
      </w:pPr>
      <w:r>
        <w:rPr/>
        <w:t xml:space="preserve">(c) Aggregated and disaggregated demographic data for pretrial diversions pursuant to section 10 of this act, that identifies trends or disparities in utilization or outcomes based on race, ethnicity, gender, gender expression or identity, disability status, age, and any other appropriate characteristics as determined by the administrative office of the courts;</w:t>
      </w:r>
    </w:p>
    <w:p>
      <w:pPr>
        <w:spacing w:before="0" w:after="0" w:line="408" w:lineRule="exact"/>
        <w:ind w:left="0" w:right="0" w:firstLine="576"/>
        <w:jc w:val="left"/>
      </w:pPr>
      <w:r>
        <w:rPr/>
        <w:t xml:space="preserve">(d) Statistical data comparing the relative utilization and outcomes of pretrial diversions pursuant to section 10 of this act in specific courts and in different regions of Washington;</w:t>
      </w:r>
    </w:p>
    <w:p>
      <w:pPr>
        <w:spacing w:before="0" w:after="0" w:line="408" w:lineRule="exact"/>
        <w:ind w:left="0" w:right="0" w:firstLine="576"/>
        <w:jc w:val="left"/>
      </w:pPr>
      <w:r>
        <w:rPr/>
        <w:t xml:space="preserve">(e) The number of people convicted of a violation of RCW 69.50.4011(1) (b) or (c), 69.50.4013, 69.50.4014, or 69.41.030(2) (b) or (c);</w:t>
      </w:r>
    </w:p>
    <w:p>
      <w:pPr>
        <w:spacing w:before="0" w:after="0" w:line="408" w:lineRule="exact"/>
        <w:ind w:left="0" w:right="0" w:firstLine="576"/>
        <w:jc w:val="left"/>
      </w:pPr>
      <w:r>
        <w:rPr/>
        <w:t xml:space="preserve">(f) The number of people sentenced pursuant to section 11 of this act who agreed as a condition of probation to obtain a biopsychosocial assessment and participate in recommended treatment or services;</w:t>
      </w:r>
    </w:p>
    <w:p>
      <w:pPr>
        <w:spacing w:before="0" w:after="0" w:line="408" w:lineRule="exact"/>
        <w:ind w:left="0" w:right="0" w:firstLine="576"/>
        <w:jc w:val="left"/>
      </w:pPr>
      <w:r>
        <w:rPr/>
        <w:t xml:space="preserve">(g) Aggregated and disaggregated demographic data for people convicted of a violation of RCW 69.50.4011(1) (b) or (c), 69.50.4013, 69.50.4014, or 69.41.030(2) (b) or (c), that identifies trends or disparities in sentencing for and vacating of such convictions based on race, ethnicity, gender, gender expression or identity, disability status, age, and any other appropriate characteristics as determined by the administrative office of the courts; and</w:t>
      </w:r>
    </w:p>
    <w:p>
      <w:pPr>
        <w:spacing w:before="0" w:after="0" w:line="408" w:lineRule="exact"/>
        <w:ind w:left="0" w:right="0" w:firstLine="576"/>
        <w:jc w:val="left"/>
      </w:pPr>
      <w:r>
        <w:rPr/>
        <w:t xml:space="preserve">(h) Statistical data comparing the sentences imposed pursuant to section 11 of this act, and the convictions vacated pursuant to RCW 9.96.060(6), in specific courts and in different regions of Washington.</w:t>
      </w:r>
    </w:p>
    <w:p>
      <w:pPr>
        <w:spacing w:before="0" w:after="0" w:line="408" w:lineRule="exact"/>
        <w:ind w:left="0" w:right="0" w:firstLine="576"/>
        <w:jc w:val="left"/>
      </w:pPr>
      <w:r>
        <w:rPr/>
        <w:t xml:space="preserve">(2) The administrative office of the courts shall, in cooperation with the Washington state patrol and the Washington association of sheriffs and police chiefs, collect data and information related to reported violations of RCW 69.50.4011(1) (b) or (c), 69.50.4013, 69.50.4014, and 69.41.030(2) (b) or (c) responded to by law enforcement, including but not limited to the following:</w:t>
      </w:r>
    </w:p>
    <w:p>
      <w:pPr>
        <w:spacing w:before="0" w:after="0" w:line="408" w:lineRule="exact"/>
        <w:ind w:left="0" w:right="0" w:firstLine="576"/>
        <w:jc w:val="left"/>
      </w:pPr>
      <w:r>
        <w:rPr/>
        <w:t xml:space="preserve">(a) Whether such violations were deferred to treatment in lieu of further legal system involvement, or referred to the prosecuting attorney for potential charges;</w:t>
      </w:r>
    </w:p>
    <w:p>
      <w:pPr>
        <w:spacing w:before="0" w:after="0" w:line="408" w:lineRule="exact"/>
        <w:ind w:left="0" w:right="0" w:firstLine="576"/>
        <w:jc w:val="left"/>
      </w:pPr>
      <w:r>
        <w:rPr/>
        <w:t xml:space="preserve">(b) The number of such violations involving repeat offenders; and</w:t>
      </w:r>
    </w:p>
    <w:p>
      <w:pPr>
        <w:spacing w:before="0" w:after="0" w:line="408" w:lineRule="exact"/>
        <w:ind w:left="0" w:right="0" w:firstLine="576"/>
        <w:jc w:val="left"/>
      </w:pPr>
      <w:r>
        <w:rPr/>
        <w:t xml:space="preserve">(c) The number of such violations involving persons who previously participated in pretrial diversion pursuant to section 10 of this act, or who were previously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(3) Beginning August 1, 2024, and on August 1st of every year thereafter, the administrative office of the courts shall submit an annual report to the legislature containing the data and information described in subsections (1) and (2) of this section.</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20, chapter . . ., Laws of 2023 (section 20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20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20 of this act;</w:t>
      </w:r>
    </w:p>
    <w:p>
      <w:pPr>
        <w:spacing w:before="0" w:after="0" w:line="408" w:lineRule="exact"/>
        <w:ind w:left="0" w:right="0" w:firstLine="576"/>
        <w:jc w:val="left"/>
      </w:pPr>
      <w:r>
        <w:rPr/>
        <w:t xml:space="preserve">(b) The amount of annual property tax relief resulting from the tax exemption under section 20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20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20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20 of this act.</w:t>
      </w:r>
    </w:p>
    <w:p>
      <w:pPr>
        <w:spacing w:before="0" w:after="0" w:line="408" w:lineRule="exact"/>
        <w:ind w:left="0" w:right="0" w:firstLine="576"/>
        <w:jc w:val="left"/>
      </w:pPr>
      <w:r>
        <w:rPr/>
        <w:t xml:space="preserve">(5) The legislature intends to extend the expiration date of the property tax exemption under section 20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20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20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20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20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20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available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 The health care authority must engage and consult with the law enforcement assisted diversion national support bureau on data integration approaches, platforms, quality assurance protocols, and validation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with reports due by June 30th in the years 2028, 2033, and 2038. The Washington state institute for public policy shall collaborate with the authority, the law enforcement assisted diversion national support bureau, and the substance use recovery services advisory committee under RCW 71.24.546 on the topic of data collection and to determine the parameters of the report, which shall include recommendations, if any, for modification and improvement of the recovery navigator program. The law enforcement assisted diversion national support bureau may supplement the report with additional recommendations to improve the recovery navigator program by enhancing its ability to provide a viable, accepted, community-based care alternative to jail and prosecution.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w:t>
      </w:r>
      <w:r>
        <w:t>((</w:t>
      </w:r>
      <w:r>
        <w:rPr>
          <w:strike/>
        </w:rPr>
        <w:t xml:space="preserve">establish a</w:t>
      </w:r>
      <w:r>
        <w:t>))</w:t>
      </w:r>
      <w:r>
        <w:rPr/>
        <w:t xml:space="preserve"> </w:t>
      </w:r>
      <w:r>
        <w:rPr>
          <w:u w:val="single"/>
        </w:rPr>
        <w:t xml:space="preserve">provide funds and certain administrative support for</w:t>
      </w:r>
      <w:r>
        <w:rPr/>
        <w:t xml:space="preserve"> recovery navigator </w:t>
      </w:r>
      <w:r>
        <w:t>((</w:t>
      </w:r>
      <w:r>
        <w:rPr>
          <w:strike/>
        </w:rPr>
        <w:t xml:space="preserve">program</w:t>
      </w:r>
      <w:r>
        <w:t>))</w:t>
      </w:r>
      <w:r>
        <w:rPr/>
        <w:t xml:space="preserve"> </w:t>
      </w:r>
      <w:r>
        <w:rPr>
          <w:u w:val="single"/>
        </w:rPr>
        <w:t xml:space="preserve">programs</w:t>
      </w:r>
      <w:r>
        <w:rPr/>
        <w:t xml:space="preserve">. </w:t>
      </w:r>
      <w:r>
        <w:rPr>
          <w:u w:val="single"/>
        </w:rPr>
        <w:t xml:space="preserve">The programs, while supported with funding from the behavioral health administrative services organizations, must be overseen and directed by policy coordinating groups comprised, in alignment with the core principles, of local executive and legislative officials, public safety agencies, including police and prosecutors, and civil rights, public defense, and human services organizations. Project management for recovery navigator programs shall be provided by an entity independent of the behavioral health administrative services organization, which, by its mission and position, is able to implement the collective direction of the governing policy coordinating group. Where there are existing law enforcement assisted diversion programs or programs operating with high fidelity in alignment with the core principles, recovery navigator program funding should support these programs to achieve greater scale, rather than supporting parallel programs in the same jurisdictions.</w:t>
      </w:r>
    </w:p>
    <w:p>
      <w:pPr>
        <w:spacing w:before="0" w:after="0" w:line="408" w:lineRule="exact"/>
        <w:ind w:left="0" w:right="0" w:firstLine="576"/>
        <w:jc w:val="left"/>
      </w:pPr>
      <w:r>
        <w:rPr>
          <w:u w:val="single"/>
        </w:rPr>
        <w:t xml:space="preserve">(2) The recovery navigator programs shall be organized on a scale that permits meaningful direction from and coordination with local law enforcement and municipal agencies. Multiple jurisdictions may be served together in a single program if the governing structure includes the public officials necessary under the law enforcement assisted diversion model and they agree to participate in a single program.</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related to unlawful behavior connected to drug activity or other behavioral health issues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w:t>
      </w:r>
      <w:r>
        <w:rPr>
          <w:u w:val="single"/>
        </w:rPr>
        <w:t xml:space="preserve">, following consultation with an organization with both significant experience with the implementation in Washington and nationally of, and technical assistance regarding, the law enforcement assisted diversion programs as described in RCW 71.24.589, including fidelity assessment, and recognized as the entity responsibility for protecting the registered trademark of law enforcement assisted diversion, such as the law enforcement assisted diversion national support bureau, to enhance fidelity with the core principles</w:t>
      </w:r>
      <w:r>
        <w:rPr/>
        <w:t xml:space="preserve">. The uniform program standards must be modeled </w:t>
      </w:r>
      <w:r>
        <w:rPr>
          <w:u w:val="single"/>
        </w:rPr>
        <w:t xml:space="preserve">with fidelity</w:t>
      </w:r>
      <w:r>
        <w:rPr/>
        <w:t xml:space="preserve">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nondiverted legal cases that may precede or follow referral to the program. The uniform program standards must be revised to incorporate the law enforcement assisted diversion framework for police diversion prior to arrest, without arrest, and postarrest but prior to jail booking and referral for prosecution, and for ongoing case conferencing with law enforcement, prosecutors, community stakeholders, and program case managers</w:t>
      </w:r>
      <w:r>
        <w:rPr/>
        <w:t xml:space="preserve">. The authority must adopt the uniform program standards </w:t>
      </w:r>
      <w:r>
        <w:rPr>
          <w:u w:val="single"/>
        </w:rPr>
        <w:t xml:space="preserve">with fidelity</w:t>
      </w:r>
      <w:r>
        <w:rPr/>
        <w:t xml:space="preserve"> from the components of the law enforcement assisted diversion program </w:t>
      </w:r>
      <w:r>
        <w:t>((</w:t>
      </w:r>
      <w:r>
        <w:rPr>
          <w:strike/>
        </w:rPr>
        <w:t xml:space="preserve">to accommodate an expanded population of</w:t>
      </w:r>
      <w:r>
        <w:t>))</w:t>
      </w:r>
      <w:r>
        <w:rPr/>
        <w:t xml:space="preserve"> </w:t>
      </w:r>
      <w:r>
        <w:rPr>
          <w:u w:val="single"/>
        </w:rPr>
        <w:t xml:space="preserve">following guidance from the consulting organization identified in this subsection (3). The uniform standards must provide for a range of program referral channels to serve</w:t>
      </w:r>
      <w:r>
        <w:rPr/>
        <w:t xml:space="preserve"> persons with substance use disorders, including persons with co-occurring substance use disorders and mental health conditions, and </w:t>
      </w:r>
      <w:r>
        <w:t>((</w:t>
      </w:r>
      <w:r>
        <w:rPr>
          <w:strike/>
        </w:rPr>
        <w:t xml:space="preserve">allow for referrals from a broad range of sources</w:t>
      </w:r>
      <w:r>
        <w:t>))</w:t>
      </w:r>
      <w:r>
        <w:rPr/>
        <w:t xml:space="preserve"> </w:t>
      </w:r>
      <w:r>
        <w:rPr>
          <w:u w:val="single"/>
        </w:rPr>
        <w:t xml:space="preserve">must require prioritization of those who are or likely will be exposed to the criminal legal system related to their behavioral health issues</w:t>
      </w:r>
      <w:r>
        <w:rPr/>
        <w:t xml:space="preserve">. In addition to accepting referrals from law enforcement, the uniform program standards must provide guidance for accepting referrals </w:t>
      </w:r>
      <w:r>
        <w:t>((</w:t>
      </w:r>
      <w:r>
        <w:rPr>
          <w:strike/>
        </w:rPr>
        <w:t xml:space="preserve">on behalf of persons with substance use disorders, including persons with co-occurring substance use disorders and mental health conditions</w:t>
      </w:r>
      <w:r>
        <w:t>))</w:t>
      </w:r>
      <w:r>
        <w:rPr/>
        <w:t xml:space="preserve"> </w:t>
      </w:r>
      <w:r>
        <w:rPr>
          <w:u w:val="single"/>
        </w:rPr>
        <w:t xml:space="preserve">of individuals who otherwise could be exposed to the criminal legal system</w:t>
      </w:r>
      <w:r>
        <w:rPr/>
        <w:t xml:space="preserve">,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w:t>
      </w:r>
      <w:r>
        <w:t>((</w:t>
      </w:r>
      <w:r>
        <w:rPr>
          <w:strike/>
        </w:rPr>
        <w:t xml:space="preserve">Before receiving funding for implementation and ongoing administration, each</w:t>
      </w:r>
      <w:r>
        <w:t>))</w:t>
      </w:r>
      <w:r>
        <w:rPr/>
        <w:t xml:space="preserve"> </w:t>
      </w:r>
      <w:r>
        <w:rPr>
          <w:u w:val="single"/>
        </w:rPr>
        <w:t xml:space="preserve">No</w:t>
      </w:r>
      <w:r>
        <w:rPr/>
        <w:t xml:space="preserve"> behavioral health administrative services organization </w:t>
      </w:r>
      <w:r>
        <w:t>((</w:t>
      </w:r>
      <w:r>
        <w:rPr>
          <w:strike/>
        </w:rPr>
        <w:t xml:space="preserve">must submit</w:t>
      </w:r>
      <w:r>
        <w:t>))</w:t>
      </w:r>
      <w:r>
        <w:rPr/>
        <w:t xml:space="preserve"> </w:t>
      </w:r>
      <w:r>
        <w:rPr>
          <w:u w:val="single"/>
        </w:rPr>
        <w:t xml:space="preserve">may receive funds after January 1, 2024, unless it has submitted</w:t>
      </w:r>
      <w:r>
        <w:rPr/>
        <w:t xml:space="preserve"> a program plan that demonstrates the ability to fully comply with </w:t>
      </w:r>
      <w:r>
        <w:rPr>
          <w:u w:val="single"/>
        </w:rPr>
        <w:t xml:space="preserve">the revised</w:t>
      </w:r>
      <w:r>
        <w:rPr/>
        <w:t xml:space="preserve"> statewide program standards </w:t>
      </w:r>
      <w:r>
        <w:rPr>
          <w:u w:val="single"/>
        </w:rPr>
        <w:t xml:space="preserve">and is approved by the authority. If contracts for project managers and service providers must be reprocured in order to comply with the revised standards, that process must be completed by July 1, 2024, to receive continued funding</w:t>
      </w:r>
      <w:r>
        <w:rPr/>
        <w:t xml:space="preserve">. The authority shall </w:t>
      </w:r>
      <w:r>
        <w:rPr>
          <w:u w:val="single"/>
        </w:rPr>
        <w:t xml:space="preserve">determine whether to approve each plan or request for revisions. The authority shall</w:t>
      </w:r>
      <w:r>
        <w:rPr/>
        <w:t xml:space="preserve">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w:t>
      </w:r>
      <w:r>
        <w:rPr>
          <w:u w:val="single"/>
        </w:rPr>
        <w:t xml:space="preserve">The authority must confer with the consulting organization identified in subsection (3) of this section when making determinations regarding plan approval and any need for revisions and must include the organization in any regular reviews of recovery navigator programs.</w:t>
      </w:r>
      <w:r>
        <w:rPr/>
        <w:t xml:space="preserve"> The authority shall arrange for technical assistance to be provided </w:t>
      </w:r>
      <w:r>
        <w:rPr>
          <w:u w:val="single"/>
        </w:rPr>
        <w:t xml:space="preserve">to the authority, behavioral health administrative services organizations, contracted providers, and independent stakeholders and partners, such as prosecuting attorneys and law enforcement,</w:t>
      </w:r>
      <w:r>
        <w:rPr/>
        <w:t xml:space="preserve"> by the </w:t>
      </w:r>
      <w:r>
        <w:t>((</w:t>
      </w:r>
      <w:r>
        <w:rPr>
          <w:strike/>
        </w:rPr>
        <w:t xml:space="preserve">LEAD national support bureau to all behavioral health administrative services organizations</w:t>
      </w:r>
      <w:r>
        <w:t>))</w:t>
      </w:r>
      <w:r>
        <w:rPr/>
        <w:t xml:space="preserve"> </w:t>
      </w:r>
      <w:r>
        <w:rPr>
          <w:u w:val="single"/>
        </w:rPr>
        <w:t xml:space="preserve">consulting organization identified in subsection (3) of this section, which may provide technical assistance directly to recovery navigator program contractors, stakeholders, and partners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w:t>
      </w:r>
      <w:r>
        <w:rPr>
          <w:u w:val="single"/>
        </w:rPr>
        <w:t xml:space="preserve">, and shall consult with the consulting organization identified in subsection (3) of this section to assist in assessing compliance with the standards</w:t>
      </w:r>
      <w:r>
        <w:rPr/>
        <w:t xml:space="preserve">.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t>
      </w:r>
      <w:r>
        <w:rPr>
          <w:u w:val="single"/>
        </w:rPr>
        <w:t xml:space="preserve">both</w:t>
      </w:r>
      <w:r>
        <w:rPr/>
        <w:t xml:space="preserve"> with lived experience with substance use disorder </w:t>
      </w:r>
      <w:r>
        <w:rPr>
          <w:u w:val="single"/>
        </w:rPr>
        <w:t xml:space="preserve">and people with clinical expertise necessary to the provision of skilled care and a supervisor of a care team,</w:t>
      </w:r>
      <w:r>
        <w:rPr/>
        <w:t xml:space="preserve">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 </w:t>
      </w:r>
      <w:r>
        <w:rPr>
          <w:u w:val="single"/>
        </w:rPr>
        <w:t xml:space="preserve">The committee is strongly encouraged to invite the consulting organization identified in subsection (3) of this section to participate in presenting these reports to the committee.</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May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 </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A health engagement hub is intended to:</w:t>
      </w:r>
    </w:p>
    <w:p>
      <w:pPr>
        <w:spacing w:before="0" w:after="0" w:line="408" w:lineRule="exact"/>
        <w:ind w:left="0" w:right="0" w:firstLine="576"/>
        <w:jc w:val="left"/>
      </w:pPr>
      <w:r>
        <w:rPr/>
        <w:t xml:space="preserve">(a) Serve as an all-in-one location where people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w:t>
      </w:r>
    </w:p>
    <w:p>
      <w:pPr>
        <w:spacing w:before="0" w:after="0" w:line="408" w:lineRule="exact"/>
        <w:ind w:left="0" w:right="0" w:firstLine="576"/>
        <w:jc w:val="left"/>
      </w:pPr>
      <w:r>
        <w:rPr/>
        <w:t xml:space="preserve">(f) Provide linkage to housing, transportation, and other support services; and</w:t>
      </w:r>
    </w:p>
    <w:p>
      <w:pPr>
        <w:spacing w:before="0" w:after="0" w:line="408" w:lineRule="exact"/>
        <w:ind w:left="0" w:right="0" w:firstLine="576"/>
        <w:jc w:val="left"/>
      </w:pPr>
      <w:r>
        <w:rPr/>
        <w:t xml:space="preserve">(g) Be open to youth as well as adults.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Continue and expand efforts to provide opioid use disorder medication in city, county, regional, and tribal jails;</w:t>
      </w:r>
    </w:p>
    <w:p>
      <w:pPr>
        <w:spacing w:before="0" w:after="0" w:line="408" w:lineRule="exact"/>
        <w:ind w:left="0" w:right="0" w:firstLine="576"/>
        <w:jc w:val="left"/>
      </w:pPr>
      <w:r>
        <w:rPr/>
        <w:t xml:space="preserve">(2) Provide support funds to new and established recovery support services including department of health certified clubhouses throughout the state;</w:t>
      </w:r>
    </w:p>
    <w:p>
      <w:pPr>
        <w:spacing w:before="0" w:after="0" w:line="408" w:lineRule="exact"/>
        <w:ind w:left="0" w:right="0" w:firstLine="576"/>
        <w:jc w:val="left"/>
      </w:pPr>
      <w:r>
        <w:rPr/>
        <w:t xml:space="preserve">(3) Award grants to an equivalent number of crisis services providers to the west and the east of the Cascade mountains, to establish and expand 23-hour crisis relief center capacity;</w:t>
      </w:r>
    </w:p>
    <w:p>
      <w:pPr>
        <w:spacing w:before="0" w:after="0" w:line="408" w:lineRule="exact"/>
        <w:ind w:left="0" w:right="0" w:firstLine="576"/>
        <w:jc w:val="left"/>
      </w:pPr>
      <w:r>
        <w:rPr/>
        <w:t xml:space="preserve">(4) Maintain a memorandum of understanding with the criminal justice training commission to provide ongoing funding for community grants pursuant to RCW 36.28A.450; and</w:t>
      </w:r>
    </w:p>
    <w:p>
      <w:pPr>
        <w:spacing w:before="0" w:after="0" w:line="408" w:lineRule="exact"/>
        <w:ind w:left="0" w:right="0" w:firstLine="576"/>
        <w:jc w:val="left"/>
      </w:pPr>
      <w:r>
        <w:rPr/>
        <w:t xml:space="preserve">(5) Provide ongoing grants to law enforcement assistant diversion programs under RCW 71.24.589.</w:t>
      </w:r>
    </w:p>
    <w:p>
      <w:pPr>
        <w:spacing w:before="240" w:after="0" w:line="408" w:lineRule="exact"/>
        <w:ind w:left="0" w:right="0" w:firstLine="576"/>
        <w:jc w:val="center"/>
      </w:pPr>
      <w:r>
        <w:rPr>
          <w:b/>
        </w:rPr>
        <w:t xml:space="preserve">Part XII – Streamlining Substance Use Disorder Treatment Intakes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intake shall be low barrier, person-centered, and amenable to administration in diverse health care settings and by a range of health care professionals. The intake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8 through 12, and 34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Reclassifies the offenses of possession of a controlled substance and possession of a counterfeit substance as misdemeanors, rather than gross misdemeanors.</w:t>
      </w:r>
    </w:p>
    <w:p>
      <w:pPr>
        <w:spacing w:before="0" w:after="0" w:line="408" w:lineRule="exact"/>
        <w:ind w:left="0" w:right="0" w:firstLine="576"/>
        <w:jc w:val="left"/>
      </w:pPr>
      <w:r>
        <w:rPr/>
        <w:t xml:space="preserve">(2) Establishes the offenses of knowing possession and use of a controlled substance, counterfeit substance, or legend drug in a public place as misdemeanors, subject to certain exceptions.</w:t>
      </w:r>
    </w:p>
    <w:p>
      <w:pPr>
        <w:spacing w:before="0" w:after="0" w:line="408" w:lineRule="exact"/>
        <w:ind w:left="0" w:right="0" w:firstLine="576"/>
        <w:jc w:val="left"/>
      </w:pPr>
      <w:r>
        <w:rPr/>
        <w:t xml:space="preserve">(3) Encourages prosecutors to divert applicable drug offenses for assessment, treatment, or other services, through a recovery navigator program (RNP) or a comparable program.</w:t>
      </w:r>
    </w:p>
    <w:p>
      <w:pPr>
        <w:spacing w:before="0" w:after="0" w:line="408" w:lineRule="exact"/>
        <w:ind w:left="0" w:right="0" w:firstLine="576"/>
        <w:jc w:val="left"/>
      </w:pPr>
      <w:r>
        <w:rPr/>
        <w:t xml:space="preserve">(4) Provides that, upon arraignment for applicable drug offenses, the court is required to determine whether the defendant has been advised by the defendant's attorney about pretrial diversion, rather than give such advisement directly to the defendant.</w:t>
      </w:r>
    </w:p>
    <w:p>
      <w:pPr>
        <w:spacing w:before="0" w:after="0" w:line="408" w:lineRule="exact"/>
        <w:ind w:left="0" w:right="0" w:firstLine="576"/>
        <w:jc w:val="left"/>
      </w:pPr>
      <w:r>
        <w:rPr/>
        <w:t xml:space="preserve">(5) Eliminates the specific appropriation made for the Washington state patrol related to testing evidence submitted for suspected drug offenses within 45 days, and instead makes such testing requirements subject to the availability of funds.</w:t>
      </w:r>
    </w:p>
    <w:p>
      <w:pPr>
        <w:spacing w:before="0" w:after="0" w:line="408" w:lineRule="exact"/>
        <w:ind w:left="0" w:right="0" w:firstLine="576"/>
        <w:jc w:val="left"/>
      </w:pPr>
      <w:r>
        <w:rPr/>
        <w:t xml:space="preserve">(6) Provides that the prohibition on selling or permitting the sale of drug paraphernalia does not apply to distribution of certain supplies by outreach, shelter, and housing programs.</w:t>
      </w:r>
    </w:p>
    <w:p>
      <w:pPr>
        <w:spacing w:before="0" w:after="0" w:line="408" w:lineRule="exact"/>
        <w:ind w:left="0" w:right="0" w:firstLine="576"/>
        <w:jc w:val="left"/>
      </w:pPr>
      <w:r>
        <w:rPr/>
        <w:t xml:space="preserve">(7) Provides that the state occupies and preempts the field of drug paraphernalia regulation.</w:t>
      </w:r>
    </w:p>
    <w:p>
      <w:pPr>
        <w:spacing w:before="0" w:after="0" w:line="408" w:lineRule="exact"/>
        <w:ind w:left="0" w:right="0" w:firstLine="576"/>
        <w:jc w:val="left"/>
      </w:pPr>
      <w:r>
        <w:rPr/>
        <w:t xml:space="preserve">(8) Modifies provisions related to pretrial diversions for applicable drug offenses, including by:</w:t>
      </w:r>
    </w:p>
    <w:p>
      <w:pPr>
        <w:spacing w:before="0" w:after="0" w:line="408" w:lineRule="exact"/>
        <w:ind w:left="0" w:right="0" w:firstLine="576"/>
        <w:jc w:val="left"/>
      </w:pPr>
      <w:r>
        <w:rPr/>
        <w:t xml:space="preserve">• Expanding the circumstances when pretrial diversion is available to include when a person is charged with knowing possession and use of a controlled substance, counterfeit substance, or legend drug in a public place;</w:t>
      </w:r>
    </w:p>
    <w:p>
      <w:pPr>
        <w:spacing w:before="0" w:after="0" w:line="408" w:lineRule="exact"/>
        <w:ind w:left="0" w:right="0" w:firstLine="576"/>
        <w:jc w:val="left"/>
      </w:pPr>
      <w:r>
        <w:rPr/>
        <w:t xml:space="preserve">• Providing that a court may not grant a motion for pretrial diversion without the prosecuting attorney's consent;</w:t>
      </w:r>
    </w:p>
    <w:p>
      <w:pPr>
        <w:spacing w:before="0" w:after="0" w:line="408" w:lineRule="exact"/>
        <w:ind w:left="0" w:right="0" w:firstLine="576"/>
        <w:jc w:val="left"/>
      </w:pPr>
      <w:r>
        <w:rPr/>
        <w:t xml:space="preserve">• Encouraging prosecuting attorneys to divert cases meeting certain criteria;</w:t>
      </w:r>
    </w:p>
    <w:p>
      <w:pPr>
        <w:spacing w:before="0" w:after="0" w:line="408" w:lineRule="exact"/>
        <w:ind w:left="0" w:right="0" w:firstLine="576"/>
        <w:jc w:val="left"/>
      </w:pPr>
      <w:r>
        <w:rPr/>
        <w:t xml:space="preserve">• Providing that, if the prosecuting attorney consents, the court must grant a motion for pretrial diversion in circumstances when the defendant is only charged with an applicable drug offense, and the defendant has not been convicted of any offenses committed after July 1, 2023;</w:t>
      </w:r>
    </w:p>
    <w:p>
      <w:pPr>
        <w:spacing w:before="0" w:after="0" w:line="408" w:lineRule="exact"/>
        <w:ind w:left="0" w:right="0" w:firstLine="576"/>
        <w:jc w:val="left"/>
      </w:pPr>
      <w:r>
        <w:rPr/>
        <w:t xml:space="preserve">• Requiring the court to provide the defendant and the defendant's counsel with specific information prior to granting a motion for pretrial diversion;</w:t>
      </w:r>
    </w:p>
    <w:p>
      <w:pPr>
        <w:spacing w:before="0" w:after="0" w:line="408" w:lineRule="exact"/>
        <w:ind w:left="0" w:right="0" w:firstLine="576"/>
        <w:jc w:val="left"/>
      </w:pPr>
      <w:r>
        <w:rPr/>
        <w:t xml:space="preserve">• Eliminating the provisions related to making resources available to assist an applicable defendant with obtaining a substance use disorder (SUD) evaluation, assisting the defendant with transportation to the evaluation, allowing the court to contract with a third party to provide SUD assessments and services, and requiring state reimbursement of associated costs;</w:t>
      </w:r>
    </w:p>
    <w:p>
      <w:pPr>
        <w:spacing w:before="0" w:after="0" w:line="408" w:lineRule="exact"/>
        <w:ind w:left="0" w:right="0" w:firstLine="576"/>
        <w:jc w:val="left"/>
      </w:pPr>
      <w:r>
        <w:rPr/>
        <w:t xml:space="preserve">• Providing that a RNP or other comparable program (applicable program), rather than a treatment program, must make a written report to the court stating its findings and recommendations based on a biopsychosocial assessment, and that such report must be filed under seal with the court, with a copy given to certain parties;</w:t>
      </w:r>
    </w:p>
    <w:p>
      <w:pPr>
        <w:spacing w:before="0" w:after="0" w:line="408" w:lineRule="exact"/>
        <w:ind w:left="0" w:right="0" w:firstLine="576"/>
        <w:jc w:val="left"/>
      </w:pPr>
      <w:r>
        <w:rPr/>
        <w:t xml:space="preserve">• Exempting the written report and its copies from disclosure under the public records act;</w:t>
      </w:r>
    </w:p>
    <w:p>
      <w:pPr>
        <w:spacing w:before="0" w:after="0" w:line="408" w:lineRule="exact"/>
        <w:ind w:left="0" w:right="0" w:firstLine="576"/>
        <w:jc w:val="left"/>
      </w:pPr>
      <w:r>
        <w:rPr/>
        <w:t xml:space="preserve">• Providing that if the applicable program's written report does not recommend any treatment or services, the defendant must instead complete an amount of community restitution as determined by the court, but not to exceed 120 hours;</w:t>
      </w:r>
    </w:p>
    <w:p>
      <w:pPr>
        <w:spacing w:before="0" w:after="0" w:line="408" w:lineRule="exact"/>
        <w:ind w:left="0" w:right="0" w:firstLine="576"/>
        <w:jc w:val="left"/>
      </w:pPr>
      <w:r>
        <w:rPr/>
        <w:t xml:space="preserve">• Requiring the court to endeavor to avoid public discussion of certain stigmatizing topics;</w:t>
      </w:r>
    </w:p>
    <w:p>
      <w:pPr>
        <w:spacing w:before="0" w:after="0" w:line="408" w:lineRule="exact"/>
        <w:ind w:left="0" w:right="0" w:firstLine="576"/>
        <w:jc w:val="left"/>
      </w:pPr>
      <w:r>
        <w:rPr/>
        <w:t xml:space="preserve">• Limiting when the prosecuting attorney may make a motion for termination from pretrial diversion to when it appears that the defendant is not meaningfully engaging in the recommended treatment or services, or, if applicable, the community restitution; and</w:t>
      </w:r>
    </w:p>
    <w:p>
      <w:pPr>
        <w:spacing w:before="0" w:after="0" w:line="408" w:lineRule="exact"/>
        <w:ind w:left="0" w:right="0" w:firstLine="576"/>
        <w:jc w:val="left"/>
      </w:pPr>
      <w:r>
        <w:rPr/>
        <w:t xml:space="preserve">• Providing that the defendant successfully completes pretrial diversion by having six months of meaningful engagement with assessment and recommended treatment or services and progress toward recovery goals as reflected by a written status update from the applicable program, or, if no treatment or services were recommended by the applicable program, by completing the community restitution and submitting proof of completion to the court.</w:t>
      </w:r>
    </w:p>
    <w:p>
      <w:pPr>
        <w:spacing w:before="0" w:after="0" w:line="408" w:lineRule="exact"/>
        <w:ind w:left="0" w:right="0" w:firstLine="576"/>
        <w:jc w:val="left"/>
      </w:pPr>
      <w:r>
        <w:rPr/>
        <w:t xml:space="preserve">(9) Modifies provisions related to sentencing requirements for applicable drug offenses, including by:</w:t>
      </w:r>
    </w:p>
    <w:p>
      <w:pPr>
        <w:spacing w:before="0" w:after="0" w:line="408" w:lineRule="exact"/>
        <w:ind w:left="0" w:right="0" w:firstLine="576"/>
        <w:jc w:val="left"/>
      </w:pPr>
      <w:r>
        <w:rPr/>
        <w:t xml:space="preserve">• Expanding the circumstances when a court is required to impose certain sentences and conditions for applicable drug offense convictions to include when a person convicted agrees to obtain a biopsychosocial assessment by an applicable program and recommended treatment or services, or, if applicable, to complete court-ordered community restitution, as a condition of probation;</w:t>
      </w:r>
    </w:p>
    <w:p>
      <w:pPr>
        <w:spacing w:before="0" w:after="0" w:line="408" w:lineRule="exact"/>
        <w:ind w:left="0" w:right="0" w:firstLine="576"/>
        <w:jc w:val="left"/>
      </w:pPr>
      <w:r>
        <w:rPr/>
        <w:t xml:space="preserve">• Eliminating the provisions related to making resources available to assist an applicable defendant with obtaining an SUD evaluation, assisting the defendant with transportation to the evaluation, allowing the court to contract with a third party to provide SUD assessments and services, and requiring state reimbursement of associated costs;</w:t>
      </w:r>
    </w:p>
    <w:p>
      <w:pPr>
        <w:spacing w:before="0" w:after="0" w:line="408" w:lineRule="exact"/>
        <w:ind w:left="0" w:right="0" w:firstLine="576"/>
        <w:jc w:val="left"/>
      </w:pPr>
      <w:r>
        <w:rPr/>
        <w:t xml:space="preserve">• Eliminating the provisions requiring the court to grant a person credit for all confinement time served presentencing for applicable drug offenses when such confinement was solely in regard to the offense for which the person is being sentenced;</w:t>
      </w:r>
    </w:p>
    <w:p>
      <w:pPr>
        <w:spacing w:before="0" w:after="0" w:line="408" w:lineRule="exact"/>
        <w:ind w:left="0" w:right="0" w:firstLine="576"/>
        <w:jc w:val="left"/>
      </w:pPr>
      <w:r>
        <w:rPr/>
        <w:t xml:space="preserve">• Eliminating the 21-day mandatory minimum sentences for persons convicted of applicable drug offenses who refuse to obtain an SUD assessment and recommended treatment or services as a condition of probation;</w:t>
      </w:r>
    </w:p>
    <w:p>
      <w:pPr>
        <w:spacing w:before="0" w:after="0" w:line="408" w:lineRule="exact"/>
        <w:ind w:left="0" w:right="0" w:firstLine="576"/>
        <w:jc w:val="left"/>
      </w:pPr>
      <w:r>
        <w:rPr/>
        <w:t xml:space="preserve">• Eliminating the provision related to assisting an applicable person with transportation to an SUD evaluation;</w:t>
      </w:r>
    </w:p>
    <w:p>
      <w:pPr>
        <w:spacing w:before="0" w:after="0" w:line="408" w:lineRule="exact"/>
        <w:ind w:left="0" w:right="0" w:firstLine="576"/>
        <w:jc w:val="left"/>
      </w:pPr>
      <w:r>
        <w:rPr/>
        <w:t xml:space="preserve">• Providing that an applicable program, rather than an SUD treatment program, must prepare a biopsychosocial assessment, and that such assessment must be filed under seal with the court;</w:t>
      </w:r>
    </w:p>
    <w:p>
      <w:pPr>
        <w:spacing w:before="0" w:after="0" w:line="408" w:lineRule="exact"/>
        <w:ind w:left="0" w:right="0" w:firstLine="576"/>
        <w:jc w:val="left"/>
      </w:pPr>
      <w:r>
        <w:rPr/>
        <w:t xml:space="preserve">• Eliminating the provision requiring all individuals providing assessments to implement a specific integrated and comprehensive screening and assessment process for co-occurring SUDs and mental health disorders;</w:t>
      </w:r>
    </w:p>
    <w:p>
      <w:pPr>
        <w:spacing w:before="0" w:after="0" w:line="408" w:lineRule="exact"/>
        <w:ind w:left="0" w:right="0" w:firstLine="576"/>
        <w:jc w:val="left"/>
      </w:pPr>
      <w:r>
        <w:rPr/>
        <w:t xml:space="preserve">• Requiring the court to determine whether an applicable person, based on the person's biopsychosocial assessment, must be required to complete sustained services from a licensed behavioral health care provider, peer counseling program, or other case management program, rather than complete intensive treatment in an approved treatment program;</w:t>
      </w:r>
    </w:p>
    <w:p>
      <w:pPr>
        <w:spacing w:before="0" w:after="0" w:line="408" w:lineRule="exact"/>
        <w:ind w:left="0" w:right="0" w:firstLine="576"/>
        <w:jc w:val="left"/>
      </w:pPr>
      <w:r>
        <w:rPr/>
        <w:t xml:space="preserve">• Requiring the court to order an applicable person to complete an amount of community restitution not to exceed 120 hours, as a term of probation, if the report based on the person's biopsychosocial assessment does not recommend any treatment or services;</w:t>
      </w:r>
    </w:p>
    <w:p>
      <w:pPr>
        <w:spacing w:before="0" w:after="0" w:line="408" w:lineRule="exact"/>
        <w:ind w:left="0" w:right="0" w:firstLine="576"/>
        <w:jc w:val="left"/>
      </w:pPr>
      <w:r>
        <w:rPr/>
        <w:t xml:space="preserve">• Requiring the court to confirm that an applicable person's service provider consents to providing, at a minimum, monthly updates on the person's progress on a schedule acceptable to the court;</w:t>
      </w:r>
    </w:p>
    <w:p>
      <w:pPr>
        <w:spacing w:before="0" w:after="0" w:line="408" w:lineRule="exact"/>
        <w:ind w:left="0" w:right="0" w:firstLine="576"/>
        <w:jc w:val="left"/>
      </w:pPr>
      <w:r>
        <w:rPr/>
        <w:t xml:space="preserve">• Requiring meaningful engagement, rather than compliance, with treatment or services recommended by the biopsychosocial assessment as a condition of probation for applicable persons;</w:t>
      </w:r>
    </w:p>
    <w:p>
      <w:pPr>
        <w:spacing w:before="0" w:after="0" w:line="408" w:lineRule="exact"/>
        <w:ind w:left="0" w:right="0" w:firstLine="576"/>
        <w:jc w:val="left"/>
      </w:pPr>
      <w:r>
        <w:rPr/>
        <w:t xml:space="preserve">• Providing that only the prosecuting attorney, rather than the prosecuting attorney or the court, must make a motion for a hearing to consider sanctions when it appears that an applicable person is not meaningfully engaging in treatment or services, or, if applicable, not completing court-ordered community restitution;</w:t>
      </w:r>
    </w:p>
    <w:p>
      <w:pPr>
        <w:spacing w:before="0" w:after="0" w:line="408" w:lineRule="exact"/>
        <w:ind w:left="0" w:right="0" w:firstLine="576"/>
        <w:jc w:val="left"/>
      </w:pPr>
      <w:r>
        <w:rPr/>
        <w:t xml:space="preserve">• Eliminating the mandatory minimum sanctions that the court must impose if it finds that an applicable person has willfully abandoned or demonstrated a consistent failure to meaningfully participate in treatment or services;</w:t>
      </w:r>
    </w:p>
    <w:p>
      <w:pPr>
        <w:spacing w:before="0" w:after="0" w:line="408" w:lineRule="exact"/>
        <w:ind w:left="0" w:right="0" w:firstLine="576"/>
        <w:jc w:val="left"/>
      </w:pPr>
      <w:r>
        <w:rPr/>
        <w:t xml:space="preserve">• Requiring the court to terminate probation and enter an order vacating an applicable person's conviction upon verification that the person successfully completed treatment and services, or, if applicable, court-ordered community restitution; and</w:t>
      </w:r>
    </w:p>
    <w:p>
      <w:pPr>
        <w:spacing w:before="0" w:after="0" w:line="408" w:lineRule="exact"/>
        <w:ind w:left="0" w:right="0" w:firstLine="576"/>
        <w:jc w:val="left"/>
      </w:pPr>
      <w:r>
        <w:rPr/>
        <w:t xml:space="preserve">• Requiring the court to terminate probation and enter an order vacating an applicable person's conviction if the individual has not been arrested, charged, or convicted in the one year following the person's conviction.</w:t>
      </w:r>
    </w:p>
    <w:p>
      <w:pPr>
        <w:spacing w:before="0" w:after="0" w:line="408" w:lineRule="exact"/>
        <w:ind w:left="0" w:right="0" w:firstLine="576"/>
        <w:jc w:val="left"/>
      </w:pPr>
      <w:r>
        <w:rPr/>
        <w:t xml:space="preserve">(10) Provides that if a person convicted of an applicable drug offense successfully completes recommended treatment or services and files proof of completion, or has not been arrested, charged, or convicted in the one year following the person's conviction, the prosecuting attorney must make a motion to vacate the person's conviction or convictions, and the court must grant the motion.</w:t>
      </w:r>
    </w:p>
    <w:p>
      <w:pPr>
        <w:spacing w:before="0" w:after="0" w:line="408" w:lineRule="exact"/>
        <w:ind w:left="0" w:right="0" w:firstLine="576"/>
        <w:jc w:val="left"/>
      </w:pPr>
      <w:r>
        <w:rPr/>
        <w:t xml:space="preserve">(11) Requires the administrative office of the courts (AOC) to collect data and information, and submit an annual report, related to the following:</w:t>
      </w:r>
    </w:p>
    <w:p>
      <w:pPr>
        <w:spacing w:before="0" w:after="0" w:line="408" w:lineRule="exact"/>
        <w:ind w:left="0" w:right="0" w:firstLine="576"/>
        <w:jc w:val="left"/>
      </w:pPr>
      <w:r>
        <w:rPr/>
        <w:t xml:space="preserve">• The recidivism rate for persons who participate in pretrial diversion or agree to obtain a biopsychosocial assessment and participate in recommended treatment or services as a condition of probation for applicable drug offenses; and</w:t>
      </w:r>
    </w:p>
    <w:p>
      <w:pPr>
        <w:spacing w:before="0" w:after="0" w:line="408" w:lineRule="exact"/>
        <w:ind w:left="0" w:right="0" w:firstLine="576"/>
        <w:jc w:val="left"/>
      </w:pPr>
      <w:r>
        <w:rPr/>
        <w:t xml:space="preserve">• The utilization and outcomes of specific forms of pretrial diversion, sentencing, and postconviction relief for applicable drug offenses.</w:t>
      </w:r>
    </w:p>
    <w:p>
      <w:pPr>
        <w:spacing w:before="0" w:after="0" w:line="408" w:lineRule="exact"/>
        <w:ind w:left="0" w:right="0" w:firstLine="576"/>
        <w:jc w:val="left"/>
      </w:pPr>
      <w:r>
        <w:rPr/>
        <w:t xml:space="preserve">(12) Requires the AOC, in cooperation with the Washington state patrol and the Washington association of sheriffs and police chiefs, to collect data and submit an annual report on information related to reported violations of applicable drug offenses responded to by law enforcement.</w:t>
      </w:r>
    </w:p>
    <w:p>
      <w:pPr>
        <w:spacing w:before="0" w:after="0" w:line="408" w:lineRule="exact"/>
        <w:ind w:left="0" w:right="0" w:firstLine="576"/>
        <w:jc w:val="left"/>
      </w:pPr>
      <w:r>
        <w:rPr/>
        <w:t xml:space="preserve">(13) Provides that harm reduction programs include programs that offer low threshold options for accessing SUD treatment and other services, rather than other health care services.</w:t>
      </w:r>
    </w:p>
    <w:p>
      <w:pPr>
        <w:spacing w:before="0" w:after="0" w:line="408" w:lineRule="exact"/>
        <w:ind w:left="0" w:right="0" w:firstLine="576"/>
        <w:jc w:val="left"/>
      </w:pPr>
      <w:r>
        <w:rPr/>
        <w:t xml:space="preserve">(14) Requires the department of commerce, subject to the availability of funds, to fund the construction costs of SUD treatment and services programs and recovery housing, rather than just SUD treatment and services programs, in certain regions of the state.</w:t>
      </w:r>
    </w:p>
    <w:p>
      <w:pPr>
        <w:spacing w:before="0" w:after="0" w:line="408" w:lineRule="exact"/>
        <w:ind w:left="0" w:right="0" w:firstLine="576"/>
        <w:jc w:val="left"/>
      </w:pPr>
      <w:r>
        <w:rPr/>
        <w:t xml:space="preserve">(15) Eliminates the provision requiring the health care authority (HCA), subject to the availability of funds, to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(16) Eliminates the requirement for the department of health (DOH) to hold a public hearing before making a decision on an application for licensing or certifying an opioid treatment program.</w:t>
      </w:r>
    </w:p>
    <w:p>
      <w:pPr>
        <w:spacing w:before="0" w:after="0" w:line="408" w:lineRule="exact"/>
        <w:ind w:left="0" w:right="0" w:firstLine="576"/>
        <w:jc w:val="left"/>
      </w:pPr>
      <w:r>
        <w:rPr/>
        <w:t xml:space="preserve">(17) Eliminates the amendatory provisions related to the reporting obligations of behavioral health or service providers, and the authority of the prosecuting attorney to file charges, when an applicable person diverted to a provider violates the terms of the diversion.</w:t>
      </w:r>
    </w:p>
    <w:p>
      <w:pPr>
        <w:spacing w:before="0" w:after="0" w:line="408" w:lineRule="exact"/>
        <w:ind w:left="0" w:right="0" w:firstLine="576"/>
        <w:jc w:val="left"/>
      </w:pPr>
      <w:r>
        <w:rPr/>
        <w:t xml:space="preserve">(18) Eliminates the provision creating a right to court-appointed counsel for certain parenting plan or child custody proceedings.</w:t>
      </w:r>
    </w:p>
    <w:p>
      <w:pPr>
        <w:spacing w:before="0" w:after="0" w:line="408" w:lineRule="exact"/>
        <w:ind w:left="0" w:right="0" w:firstLine="576"/>
        <w:jc w:val="left"/>
      </w:pPr>
      <w:r>
        <w:rPr/>
        <w:t xml:space="preserve">(19) Modifies the provisions related to the HCA and the department of children, youth, and families' (DCYF) training for parents, including by:</w:t>
      </w:r>
    </w:p>
    <w:p>
      <w:pPr>
        <w:spacing w:before="0" w:after="0" w:line="408" w:lineRule="exact"/>
        <w:ind w:left="0" w:right="0" w:firstLine="576"/>
        <w:jc w:val="left"/>
      </w:pPr>
      <w:r>
        <w:rPr/>
        <w:t xml:space="preserve">• Codifying the provisions in chapter 71.24 RCW, rather than in chapter 43.21 RCW;</w:t>
      </w:r>
    </w:p>
    <w:p>
      <w:pPr>
        <w:spacing w:before="0" w:after="0" w:line="408" w:lineRule="exact"/>
        <w:ind w:left="0" w:right="0" w:firstLine="576"/>
        <w:jc w:val="left"/>
      </w:pPr>
      <w:r>
        <w:rPr/>
        <w:t xml:space="preserve">• Specifying that the training is for parents of transition age youth and adolescents, rather than children, with SUDs;</w:t>
      </w:r>
    </w:p>
    <w:p>
      <w:pPr>
        <w:spacing w:before="0" w:after="0" w:line="408" w:lineRule="exact"/>
        <w:ind w:left="0" w:right="0" w:firstLine="576"/>
        <w:jc w:val="left"/>
      </w:pPr>
      <w:r>
        <w:rPr/>
        <w:t xml:space="preserve">• Providing that the training must build on and be consistent and compatible with existing training developed by the HCA for families impacted by SUDs; and</w:t>
      </w:r>
    </w:p>
    <w:p>
      <w:pPr>
        <w:spacing w:before="0" w:after="0" w:line="408" w:lineRule="exact"/>
        <w:ind w:left="0" w:right="0" w:firstLine="576"/>
        <w:jc w:val="left"/>
      </w:pPr>
      <w:r>
        <w:rPr/>
        <w:t xml:space="preserve">• Including suicide prevention in the training.</w:t>
      </w:r>
    </w:p>
    <w:p>
      <w:pPr>
        <w:spacing w:before="0" w:after="0" w:line="408" w:lineRule="exact"/>
        <w:ind w:left="0" w:right="0" w:firstLine="576"/>
        <w:jc w:val="left"/>
      </w:pPr>
      <w:r>
        <w:rPr/>
        <w:t xml:space="preserve">(20) Requires the DCYF to provide opioid overdose reversal medication and training to DCYF staff whose job duties require in person service or case management for child welfare or juvenile rehabilitation clients, rather than to persons who may contact individuals experiencing overdose.</w:t>
      </w:r>
    </w:p>
    <w:p>
      <w:pPr>
        <w:spacing w:before="0" w:after="0" w:line="408" w:lineRule="exact"/>
        <w:ind w:left="0" w:right="0" w:firstLine="576"/>
        <w:jc w:val="left"/>
      </w:pPr>
      <w:r>
        <w:rPr/>
        <w:t xml:space="preserve">(21) Modifies provisions related to RNPs, including by:</w:t>
      </w:r>
    </w:p>
    <w:p>
      <w:pPr>
        <w:spacing w:before="0" w:after="0" w:line="408" w:lineRule="exact"/>
        <w:ind w:left="0" w:right="0" w:firstLine="576"/>
        <w:jc w:val="left"/>
      </w:pPr>
      <w:r>
        <w:rPr/>
        <w:t xml:space="preserve">• Requiring that RNPs be overseen and directed by policy coordinating groups comprised of local officials, public safety agencies, and human services organizations;</w:t>
      </w:r>
    </w:p>
    <w:p>
      <w:pPr>
        <w:spacing w:before="0" w:after="0" w:line="408" w:lineRule="exact"/>
        <w:ind w:left="0" w:right="0" w:firstLine="576"/>
        <w:jc w:val="left"/>
      </w:pPr>
      <w:r>
        <w:rPr/>
        <w:t xml:space="preserve">• Requiring project management for RNPs to be provided by entities that are independent of the behavioral health administrative services organization;</w:t>
      </w:r>
    </w:p>
    <w:p>
      <w:pPr>
        <w:spacing w:before="0" w:after="0" w:line="408" w:lineRule="exact"/>
        <w:ind w:left="0" w:right="0" w:firstLine="576"/>
        <w:jc w:val="left"/>
      </w:pPr>
      <w:r>
        <w:rPr/>
        <w:t xml:space="preserve">• Allowing funding for RNPs to support law enforcement assisted diversion (LEAD) programs that are operating with high fidelity to the core principles;</w:t>
      </w:r>
    </w:p>
    <w:p>
      <w:pPr>
        <w:spacing w:before="0" w:after="0" w:line="408" w:lineRule="exact"/>
        <w:ind w:left="0" w:right="0" w:firstLine="576"/>
        <w:jc w:val="left"/>
      </w:pPr>
      <w:r>
        <w:rPr/>
        <w:t xml:space="preserve">• Defining "core principles" to be the core principles of a LEAD program, as established by the LEAD National Support Bureau as of May 1, 2023;</w:t>
      </w:r>
    </w:p>
    <w:p>
      <w:pPr>
        <w:spacing w:before="0" w:after="0" w:line="408" w:lineRule="exact"/>
        <w:ind w:left="0" w:right="0" w:firstLine="576"/>
        <w:jc w:val="left"/>
      </w:pPr>
      <w:r>
        <w:rPr/>
        <w:t xml:space="preserve">• Requiring RNPs to be organized on a scale to allow meaningful direction from and coordination with law enforcement and municipal agencies;</w:t>
      </w:r>
    </w:p>
    <w:p>
      <w:pPr>
        <w:spacing w:before="0" w:after="0" w:line="408" w:lineRule="exact"/>
        <w:ind w:left="0" w:right="0" w:firstLine="576"/>
        <w:jc w:val="left"/>
      </w:pPr>
      <w:r>
        <w:rPr/>
        <w:t xml:space="preserve">• Directing RNPs to prioritize individuals who are actually or potentially exposed to the criminal legal system;</w:t>
      </w:r>
    </w:p>
    <w:p>
      <w:pPr>
        <w:spacing w:before="0" w:after="0" w:line="408" w:lineRule="exact"/>
        <w:ind w:left="0" w:right="0" w:firstLine="576"/>
        <w:jc w:val="left"/>
      </w:pPr>
      <w:r>
        <w:rPr/>
        <w:t xml:space="preserve">• Directing the HCA to revise its RNP standards following consultation with an organization with significant experience with implementing LEAD programs (consulting entity);</w:t>
      </w:r>
    </w:p>
    <w:p>
      <w:pPr>
        <w:spacing w:before="0" w:after="0" w:line="408" w:lineRule="exact"/>
        <w:ind w:left="0" w:right="0" w:firstLine="576"/>
        <w:jc w:val="left"/>
      </w:pPr>
      <w:r>
        <w:rPr/>
        <w:t xml:space="preserve">• Requiring, as a condition for receiving funds, RNPs to submit a program plan for approval by the HCA by January 1, 2024, or to reprocure to meet the revised standards by July 1, 2024;</w:t>
      </w:r>
    </w:p>
    <w:p>
      <w:pPr>
        <w:spacing w:before="0" w:after="0" w:line="408" w:lineRule="exact"/>
        <w:ind w:left="0" w:right="0" w:firstLine="576"/>
        <w:jc w:val="left"/>
      </w:pPr>
      <w:r>
        <w:rPr/>
        <w:t xml:space="preserve">• Requiring the HCA to confer with the consulting entity when approving plans or requiring revisions and to arrange for the consulting entity to provide technical assistance to RNPs;</w:t>
      </w:r>
    </w:p>
    <w:p>
      <w:pPr>
        <w:spacing w:before="0" w:after="0" w:line="408" w:lineRule="exact"/>
        <w:ind w:left="0" w:right="0" w:firstLine="576"/>
        <w:jc w:val="left"/>
      </w:pPr>
      <w:r>
        <w:rPr/>
        <w:t xml:space="preserve">• Requiring the HCA to revise the RNP standards to incorporate the LEAD framework for police diversion prior to arrest, without arrest, and postarrest and prior to jail booking and referral to prosecution;</w:t>
      </w:r>
    </w:p>
    <w:p>
      <w:pPr>
        <w:spacing w:before="0" w:after="0" w:line="408" w:lineRule="exact"/>
        <w:ind w:left="0" w:right="0" w:firstLine="576"/>
        <w:jc w:val="left"/>
      </w:pPr>
      <w:r>
        <w:rPr/>
        <w:t xml:space="preserve">• Providing immunity from civil liability for several identified entities for their administration of an RNP;</w:t>
      </w:r>
    </w:p>
    <w:p>
      <w:pPr>
        <w:spacing w:before="0" w:after="0" w:line="408" w:lineRule="exact"/>
        <w:ind w:left="0" w:right="0" w:firstLine="576"/>
        <w:jc w:val="left"/>
      </w:pPr>
      <w:r>
        <w:rPr/>
        <w:t xml:space="preserve">• Requiring the HCA to engage and consult with the LEAD National Support Bureau on data integration approaches, platforms, quality assurance protocols, and validation practices for the HCA's development and implementation of a data integration platform to support RNPs; and</w:t>
      </w:r>
    </w:p>
    <w:p>
      <w:pPr>
        <w:spacing w:before="0" w:after="0" w:line="408" w:lineRule="exact"/>
        <w:ind w:left="0" w:right="0" w:firstLine="576"/>
        <w:jc w:val="left"/>
      </w:pPr>
      <w:r>
        <w:rPr/>
        <w:t xml:space="preserve">• Modifying the Washington state institute for public policy's contracted study on the long-term effectiveness of RNPs to also include collaboration with and supplementation from the LEAD National Support Bureau.</w:t>
      </w:r>
    </w:p>
    <w:p>
      <w:pPr>
        <w:spacing w:before="0" w:after="0" w:line="408" w:lineRule="exact"/>
        <w:ind w:left="0" w:right="0" w:firstLine="576"/>
        <w:jc w:val="left"/>
      </w:pPr>
      <w:r>
        <w:rPr/>
        <w:t xml:space="preserve">(22) Requires the HCA to implement a pilot program, rather than develop payment structures, for health engagement hubs by August 1, 2024, rather than January 1, 2025.</w:t>
      </w:r>
    </w:p>
    <w:p>
      <w:pPr>
        <w:spacing w:before="0" w:after="0" w:line="408" w:lineRule="exact"/>
        <w:ind w:left="0" w:right="0" w:firstLine="576"/>
        <w:jc w:val="left"/>
      </w:pPr>
      <w:r>
        <w:rPr/>
        <w:t xml:space="preserve">(23) Eliminates the specific appropriations made for the HCA related to funding for opioid use disorder medication, DOH certified clubhouses, 23-hour crisis relief centers, certain community grants, and LEAD programs, and instead makes those provisions subject to the availability of appropriated funds.</w:t>
      </w:r>
    </w:p>
    <w:p>
      <w:pPr>
        <w:spacing w:before="0" w:after="0" w:line="408" w:lineRule="exact"/>
        <w:ind w:left="0" w:right="0" w:firstLine="576"/>
        <w:jc w:val="left"/>
      </w:pPr>
      <w:r>
        <w:rPr/>
        <w:t xml:space="preserve">(24) Modifies provisions related to remote dispensing sites, including by:</w:t>
      </w:r>
    </w:p>
    <w:p>
      <w:pPr>
        <w:spacing w:before="0" w:after="0" w:line="408" w:lineRule="exact"/>
        <w:ind w:left="0" w:right="0" w:firstLine="576"/>
        <w:jc w:val="left"/>
      </w:pPr>
      <w:r>
        <w:rPr/>
        <w:t xml:space="preserve">• Allowing remote dispensing sites to dispense medications used for the treatment of the symptoms of opioid use disorder and removing the express requirement that such medications be approved by the United States food and drug administration; and</w:t>
      </w:r>
    </w:p>
    <w:p>
      <w:pPr>
        <w:spacing w:before="0" w:after="0" w:line="408" w:lineRule="exact"/>
        <w:ind w:left="0" w:right="0" w:firstLine="576"/>
        <w:jc w:val="left"/>
      </w:pPr>
      <w:r>
        <w:rPr/>
        <w:t xml:space="preserve">• Allowing the dispensing technology to be owned by either the pharmacy or the remote dispensing site.</w:t>
      </w:r>
    </w:p>
    <w:p>
      <w:pPr>
        <w:spacing w:before="0" w:after="0" w:line="408" w:lineRule="exact"/>
        <w:ind w:left="0" w:right="0" w:firstLine="576"/>
        <w:jc w:val="left"/>
      </w:pPr>
      <w:r>
        <w:rPr/>
        <w:t xml:space="preserve">(25) Provides that the amendatory provisions related to establishing the offenses of knowing possession and use of a controlled substance, counterfeit substance, or legend drug in a public place, and modifying other specific drug possession offenses, are effective July 1, 2023.</w:t>
      </w:r>
    </w:p>
    <w:p>
      <w:pPr>
        <w:spacing w:before="0" w:after="0" w:line="408" w:lineRule="exact"/>
        <w:ind w:left="0" w:right="0" w:firstLine="576"/>
        <w:jc w:val="left"/>
      </w:pPr>
      <w:r>
        <w:rPr/>
        <w:t xml:space="preserve">(26) Adds a severability clause.</w:t>
      </w:r>
    </w:p>
    <w:p>
      <w:pPr>
        <w:spacing w:before="0" w:after="0" w:line="408" w:lineRule="exact"/>
        <w:ind w:left="0" w:right="0" w:firstLine="576"/>
        <w:jc w:val="left"/>
      </w:pPr>
      <w:r>
        <w:rPr/>
        <w:t xml:space="preserve">(27) Adds a null and void clause which provides that the act is null and void if specific funding for the purposes of the act, referencing the act by bill or chapter number, is not provided by June 30, 2023, in the omnibus appropriations act.</w:t>
      </w:r>
    </w:p>
    <w:p>
      <w:pPr>
        <w:spacing w:before="0" w:after="0" w:line="408" w:lineRule="exact"/>
        <w:ind w:left="0" w:right="0" w:firstLine="576"/>
        <w:jc w:val="left"/>
      </w:pPr>
      <w:r>
        <w:rPr/>
        <w:t xml:space="preserve">(28) Modifies language in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b263796e049e7" /></Relationships>
</file>