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b24e0789348be" /></Relationships>
</file>

<file path=word/document.xml><?xml version="1.0" encoding="utf-8"?>
<w:document xmlns:w="http://schemas.openxmlformats.org/wordprocessingml/2006/main">
  <w:body>
    <w:p>
      <w:r>
        <w:rPr>
          <w:b/>
        </w:rPr>
        <w:r>
          <w:rPr/>
          <w:t xml:space="preserve">5536-S2.E</w:t>
        </w:r>
      </w:r>
      <w:r>
        <w:rPr>
          <w:b/>
        </w:rPr>
        <w:t xml:space="preserve"> </w:t>
        <w:t xml:space="preserve">AMH</w:t>
      </w:r>
      <w:r>
        <w:rPr>
          <w:b/>
        </w:rPr>
        <w:t xml:space="preserve"> </w:t>
        <w:r>
          <w:rPr/>
          <w:t xml:space="preserve">TAYL</w:t>
        </w:r>
      </w:r>
      <w:r>
        <w:rPr>
          <w:b/>
        </w:rPr>
        <w:t xml:space="preserve"> </w:t>
        <w:r>
          <w:rPr/>
          <w:t xml:space="preserve">H1919.1</w:t>
        </w:r>
      </w:r>
      <w:r>
        <w:rPr>
          <w:b/>
        </w:rPr>
        <w:t xml:space="preserve"> - NOT FOR FLOOR USE</w:t>
      </w:r>
    </w:p>
    <w:p>
      <w:pPr>
        <w:ind w:left="0" w:right="0" w:firstLine="576"/>
      </w:pPr>
    </w:p>
    <w:p>
      <w:pPr>
        <w:spacing w:before="480" w:after="0" w:line="408" w:lineRule="exact"/>
      </w:pPr>
      <w:r>
        <w:rPr>
          <w:b/>
          <w:u w:val="single"/>
        </w:rPr>
        <w:t xml:space="preserve">E2SSB 5536</w:t>
      </w:r>
      <w:r>
        <w:t xml:space="preserve"> -</w:t>
      </w:r>
      <w:r>
        <w:t xml:space="preserve"> </w:t>
        <w:t xml:space="preserve">H AMD</w:t>
      </w:r>
      <w:r>
        <w:t xml:space="preserve"> </w:t>
      </w:r>
      <w:r>
        <w:rPr>
          <w:b/>
        </w:rPr>
        <w:t xml:space="preserve">664</w:t>
      </w:r>
    </w:p>
    <w:p>
      <w:pPr>
        <w:spacing w:before="0" w:after="0" w:line="408" w:lineRule="exact"/>
        <w:ind w:left="0" w:right="0" w:firstLine="576"/>
        <w:jc w:val="left"/>
      </w:pPr>
      <w:r>
        <w:rPr/>
        <w:t xml:space="preserve">By Representative Taylor</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 is a treatable brain disease from which people can and do recover. When individuals in active addiction are provided with access to quality outreach, treatment, and recovery support services, recovery is not only possible, but probable. Solutions to the addiction crisis must not only address criminal legal responses, but must be data-driven and evidence-based, and must represent public health best practices, working directly with people who use drugs to prevent overdose and infectious disease transmission, and improve the physical, mental, and social well-being of those served. The state must follow principles of harm reduction, comprising practical strategies aimed at reducing negative consequences associated with drug use, including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recognizes that substance use disorder is commonly treated in a variety of settings, including primary care, addiction medicine, mental health agencies, and substance use disorder treatment providers. Because medications such as buprenorphine and methadone are the clinical best practice for the treatment of opioid use disorder, individuals seeking treatment for addiction to heroin, fentanyl, and other opioids frequently seek recovery via primary care, addiction medicine, and opioid treatment programs.</w:t>
      </w:r>
    </w:p>
    <w:p>
      <w:pPr>
        <w:spacing w:before="0" w:after="0" w:line="408" w:lineRule="exact"/>
        <w:ind w:left="0" w:right="0" w:firstLine="576"/>
        <w:jc w:val="left"/>
      </w:pPr>
      <w:r>
        <w:rPr/>
        <w:t xml:space="preserve">The legislature finds that the process of recovery, as described by the national substance abuse and mental health administration, is highly personal and occurs via many pathways. It may include clinical treatment, medications, faith-based approaches, peer support, family support, self-care, and other approaches. Recovery is characterized by continual growth and improvement in one's health and wellness and managing setbacks. Because setbacks are a natural part of life, resilience becomes a key component of recovery.</w:t>
      </w:r>
    </w:p>
    <w:p>
      <w:pPr>
        <w:spacing w:before="0" w:after="0" w:line="408" w:lineRule="exact"/>
        <w:ind w:left="0" w:right="0" w:firstLine="576"/>
        <w:jc w:val="left"/>
      </w:pPr>
      <w:r>
        <w:rPr/>
        <w:t xml:space="preserve">The legislature finds that the recommendations of the substance use recovery services advisory committee reflect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possess and use a counterfeit substance in a public place by injection, inhalation, ingestion, or any other means</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or (c) of this section, the court shall determine whether the defendant has been advised by the defendant's counsel about the pretrial diversion opportunity described in section 10 of this act.</w:t>
      </w:r>
    </w:p>
    <w:p>
      <w:pPr>
        <w:spacing w:before="0" w:after="0" w:line="408" w:lineRule="exact"/>
        <w:ind w:left="0" w:right="0" w:firstLine="576"/>
        <w:jc w:val="left"/>
      </w:pPr>
      <w:r>
        <w:rPr>
          <w:u w:val="single"/>
        </w:rPr>
        <w:t xml:space="preserve">(d)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possess and use a controlled substance in a public place by injection, inhalation, ingestion, or any other means,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(1)(a) or (b) of this section, the court shall determine whether the defendant has been advised by the defendant's counsel about the pretrial diversion opportunity described in section 10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determine whether the defendant has been advised by the defendant's counsel about the pretrial diversion opportunity described in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possess and use any legend drug in a public place by injection, inhalation, ingestion, or any other means,</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possession and use in a public place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(d) In lieu of jail booking and referral to the prosecutor for a violation of this section involving knowing possession, or knowing possession and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(e) Upon arraignment for a violation of this section involving knowing possession, or knowing possession and use in a public place, the court shall determine whether the defendant has been advised by the defendant's counsel about the pretrial diversion opportunity described in section 10 of this act.</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240" w:after="0" w:line="408" w:lineRule="exact"/>
        <w:ind w:left="0" w:right="0" w:firstLine="576"/>
        <w:jc w:val="center"/>
      </w:pPr>
      <w:r>
        <w:rPr>
          <w:b/>
        </w:rPr>
        <w:t xml:space="preserve">Part III - Providing Opportunities for Pretrial Diversion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an applicable program.</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an applicable program.</w:t>
      </w:r>
    </w:p>
    <w:p>
      <w:pPr>
        <w:spacing w:before="0" w:after="0" w:line="408" w:lineRule="exact"/>
        <w:ind w:left="0" w:right="0" w:firstLine="576"/>
        <w:jc w:val="left"/>
      </w:pPr>
      <w:r>
        <w:rPr/>
        <w:t xml:space="preserve">(c)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and in any case where the only additional charge or charges against the defendant are for other nonfelony offenses that are not crimes against persons.</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applicable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(13)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 and</w:t>
      </w:r>
    </w:p>
    <w:p>
      <w:pPr>
        <w:spacing w:before="0" w:after="0" w:line="408" w:lineRule="exact"/>
        <w:ind w:left="0" w:right="0" w:firstLine="576"/>
        <w:jc w:val="left"/>
      </w:pPr>
      <w:r>
        <w:rPr/>
        <w:t xml:space="preserve">(g) A clear statement that if the defendant's biopsychosocial assessment results in a written report recommending no treatment or services, completion of pretrial diversion will instead be based on the defendant's completion of an amount of community service to be determined by the court, but not to exceed 120 hours of community service.</w:t>
      </w:r>
    </w:p>
    <w:p>
      <w:pPr>
        <w:spacing w:before="0" w:after="0" w:line="408" w:lineRule="exact"/>
        <w:ind w:left="0" w:right="0" w:firstLine="576"/>
        <w:jc w:val="left"/>
      </w:pPr>
      <w:r>
        <w:rPr/>
        <w:t xml:space="preserve">(4) The applicable program must make a written report to the court stating its findings and recommendations after the biopsychosocial assessment if the defendant decides to continue pursuing pretrial diversion. The report shall be filed under seal with the court, and a copy of the report shall be given to the prosecuting attorney, defendant, and defendant's counsel. The report and its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biopsychosocial assessment and recommended services or treatment must be provided at no cost for defendants who have been found to be indigent by the court.</w:t>
      </w:r>
    </w:p>
    <w:p>
      <w:pPr>
        <w:spacing w:before="0" w:after="0" w:line="408" w:lineRule="exact"/>
        <w:ind w:left="0" w:right="0" w:firstLine="576"/>
        <w:jc w:val="left"/>
      </w:pPr>
      <w:r>
        <w:rPr/>
        <w:t xml:space="preserve">(6) Once the biopsychosocial assessment has been filed with the court, if the report indicates the defendant has a substance use disorder, the court shall inform the defendant that under federal law the defendant may not possess any firearm or ammunition. The court shall thereafter sign an order of ineligibility to possess firearms as required by RCW 9.41.800 and shall require the defendant to surrender all firearms in accordance with RCW 9.41.804.</w:t>
      </w:r>
    </w:p>
    <w:p>
      <w:pPr>
        <w:spacing w:before="0" w:after="0" w:line="408" w:lineRule="exact"/>
        <w:ind w:left="0" w:right="0" w:firstLine="576"/>
        <w:jc w:val="left"/>
      </w:pPr>
      <w:r>
        <w:rPr/>
        <w:t xml:space="preserve">(7) If the report recommends any treatment or services, the applicable program shall provide the court with regular written status updates on the defendant's progress on a schedule acceptable to the court. The updates must be provided at least monthly and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(8) If the report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(9) No statement, or any information procured therefrom relating to the charge for which the defendant is receiving services, made by the defendant to any treatment or service provider, that is made during the course of any biopsychosocial assessment or services provided by the applicable program,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(10)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(11)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(12)(a) If it appears to the prosecuting attorney that the defendant is not substantially complying with the recommended treatment or services as reflected by a written status update from the applicable program, or, if applicable, the defendant is not completing the community service,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w:t>
      </w:r>
    </w:p>
    <w:p>
      <w:pPr>
        <w:spacing w:before="0" w:after="0" w:line="408" w:lineRule="exact"/>
        <w:ind w:left="0" w:right="0" w:firstLine="576"/>
        <w:jc w:val="left"/>
      </w:pPr>
      <w:r>
        <w:rPr/>
        <w:t xml:space="preserve">(ii) Whether the defendant received written notice of the noncompliance;</w:t>
      </w:r>
    </w:p>
    <w:p>
      <w:pPr>
        <w:spacing w:before="0" w:after="0" w:line="408" w:lineRule="exact"/>
        <w:ind w:left="0" w:right="0" w:firstLine="576"/>
        <w:jc w:val="left"/>
      </w:pPr>
      <w:r>
        <w:rPr/>
        <w:t xml:space="preserve">(iii) Whether the noncompliance was willful in nature; and</w:t>
      </w:r>
    </w:p>
    <w:p>
      <w:pPr>
        <w:spacing w:before="0" w:after="0" w:line="408" w:lineRule="exact"/>
        <w:ind w:left="0" w:right="0" w:firstLine="576"/>
        <w:jc w:val="left"/>
      </w:pPr>
      <w:r>
        <w:rPr/>
        <w:t xml:space="preserve">(iv)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The defendant shall have the right to present evidence at the hearing, including the right to present a defense, present witnesses, and cross-examine any witnesses.</w:t>
      </w:r>
    </w:p>
    <w:p>
      <w:pPr>
        <w:spacing w:before="0" w:after="0" w:line="408" w:lineRule="exact"/>
        <w:ind w:left="0" w:right="0" w:firstLine="576"/>
        <w:jc w:val="left"/>
      </w:pPr>
      <w:r>
        <w:rPr/>
        <w:t xml:space="preserve">(e) The prosecutor has the burden of establishing by clear and convincing evidence that the noncompliance was willful, and that the defendant should be terminated from pretrial diversion.</w:t>
      </w:r>
    </w:p>
    <w:p>
      <w:pPr>
        <w:spacing w:before="0" w:after="0" w:line="408" w:lineRule="exact"/>
        <w:ind w:left="0" w:right="0" w:firstLine="576"/>
        <w:jc w:val="left"/>
      </w:pPr>
      <w:r>
        <w:rPr/>
        <w:t xml:space="preserve">(f) If the court finds that the defendant is not substantially complying with the recommended treatment or services or, if applicable, the defendant is not completing the community service, the court must schedule the matter for further proceedings.</w:t>
      </w:r>
    </w:p>
    <w:p>
      <w:pPr>
        <w:spacing w:before="0" w:after="0" w:line="408" w:lineRule="exact"/>
        <w:ind w:left="0" w:right="0" w:firstLine="576"/>
        <w:jc w:val="left"/>
      </w:pPr>
      <w:r>
        <w:rPr/>
        <w:t xml:space="preserve">(13)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written report prepared by the applicable program included recommended treatment or services, the defendant successfully completes pretrial diversion by having six months of substantial compliance with assessment and recommended treatment or services and progress toward recovery goals as reflected by a written status update from the applicable program; or</w:t>
      </w:r>
    </w:p>
    <w:p>
      <w:pPr>
        <w:spacing w:before="0" w:after="0" w:line="408" w:lineRule="exact"/>
        <w:ind w:left="0" w:right="0" w:firstLine="576"/>
        <w:jc w:val="left"/>
      </w:pPr>
      <w:r>
        <w:rPr/>
        <w:t xml:space="preserve">(b) If the written report prepared by the applicable program did not include recommended treatment or services, the defendant successfully completes pretrial diversion by completing the community service described under subsection (8) of this section and submitting proof of completion to the court.</w:t>
      </w:r>
    </w:p>
    <w:p>
      <w:pPr>
        <w:spacing w:before="0" w:after="0" w:line="408" w:lineRule="exact"/>
        <w:ind w:left="0" w:right="0" w:firstLine="576"/>
        <w:jc w:val="left"/>
      </w:pPr>
      <w:r>
        <w:rPr/>
        <w:t xml:space="preserve">(14) Beginning January 1, 2024, the prosecuting attorney shall input data and information in the statewide pretrial diversion tracking and reporting system under section 14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was successfully completed and resulted in a dismissal, or is still ongoing;</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administrative office of the courts.</w:t>
      </w:r>
    </w:p>
    <w:p>
      <w:pPr>
        <w:spacing w:before="0" w:after="0" w:line="408" w:lineRule="exact"/>
        <w:ind w:left="0" w:right="0" w:firstLine="576"/>
        <w:jc w:val="left"/>
      </w:pPr>
      <w:r>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"Applicable program" means the recovery navigator program established under RCW 71.24.115, arrest and jail alternative programs established under RCW 36.28A.450, or law enforcement assisted diversion programs established under RCW 71.24.589.</w:t>
      </w:r>
    </w:p>
    <w:p>
      <w:pPr>
        <w:spacing w:before="0" w:after="0" w:line="408" w:lineRule="exact"/>
        <w:ind w:left="0" w:right="0" w:firstLine="576"/>
        <w:jc w:val="left"/>
      </w:pPr>
      <w:r>
        <w:rPr/>
        <w:t xml:space="preserve">(b) "Substantial compliance" means a defendant actively engaging with or making himself or herself available to treatment and services. The defendant is not in substantial compliance if he or she willfully abandons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Prior to sentencing any person convicted of violating RCW 69.50.4011(1) (b) or (c), 69.50.4013, 69.50.4014, or 69.41.030(2) (b) or (c),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 In courts of limited jurisdiction, if an individual who is convicted of a violation of RCW 69.50.4011(1) (b) or (c), 69.50.4013, 69.50.4014, or 69.41.030(2) (b) or (c) agrees as a condition of probation to obtain a biopsychosocial assessment by an applicable program and participate in any recommended treatment or services, or, if the applicable program recommends no treatment or services, to complete court-ordered community service, the court shall sentence the individual to a term of confinement of up to 90 days, all of which shall be suspended for a period not to exceed two years.</w:t>
      </w:r>
    </w:p>
    <w:p>
      <w:pPr>
        <w:spacing w:before="0" w:after="0" w:line="408" w:lineRule="exact"/>
        <w:ind w:left="0" w:right="0" w:firstLine="576"/>
        <w:jc w:val="left"/>
      </w:pPr>
      <w:r>
        <w:rPr/>
        <w:t xml:space="preserve">(3) A biopsychosocial assessment shall be prepared by an applicable program. A copy of the assessment shall be forwarded to the court and filed under seal. Based on the assessment, the court shall determine whether the person shall be required to complete a course in an alcohol and drug information school licensed or certified by the department of health or more sustained services provided by a licensed behavioral health care provider, peer counseling program, or other case management program.</w:t>
      </w:r>
    </w:p>
    <w:p>
      <w:pPr>
        <w:spacing w:before="0" w:after="0" w:line="408" w:lineRule="exact"/>
        <w:ind w:left="0" w:right="0" w:firstLine="576"/>
        <w:jc w:val="left"/>
      </w:pPr>
      <w:r>
        <w:rPr/>
        <w:t xml:space="preserve">(a) Once the assessment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(b) Once the assessment has been filed with the court, if the report does not recommend any treatment or services, the court shall order the defendant to complete an amount of community service not to exceed 120 hours as a term of probation.</w:t>
      </w:r>
    </w:p>
    <w:p>
      <w:pPr>
        <w:spacing w:before="0" w:after="0" w:line="408" w:lineRule="exact"/>
        <w:ind w:left="0" w:right="0" w:firstLine="576"/>
        <w:jc w:val="left"/>
      </w:pPr>
      <w:r>
        <w:rPr/>
        <w:t xml:space="preserve">(c) The assessment shall include the following:</w:t>
      </w:r>
    </w:p>
    <w:p>
      <w:pPr>
        <w:spacing w:before="0" w:after="0" w:line="408" w:lineRule="exact"/>
        <w:ind w:left="0" w:right="0" w:firstLine="576"/>
        <w:jc w:val="left"/>
      </w:pPr>
      <w:r>
        <w:rPr/>
        <w:t xml:space="preserve">(i) Available background on the defendant's circumstances, barriers, and past service history, if any;</w:t>
      </w:r>
    </w:p>
    <w:p>
      <w:pPr>
        <w:spacing w:before="0" w:after="0" w:line="408" w:lineRule="exact"/>
        <w:ind w:left="0" w:right="0" w:firstLine="576"/>
        <w:jc w:val="left"/>
      </w:pPr>
      <w:r>
        <w:rPr/>
        <w:t xml:space="preserve">(ii) Nature of barriers and challenges;</w:t>
      </w:r>
    </w:p>
    <w:p>
      <w:pPr>
        <w:spacing w:before="0" w:after="0" w:line="408" w:lineRule="exact"/>
        <w:ind w:left="0" w:right="0" w:firstLine="576"/>
        <w:jc w:val="left"/>
      </w:pPr>
      <w:r>
        <w:rPr/>
        <w:t xml:space="preserve">(iii) Recommendations for services available in the individual's community that are likely to work with the individual and provide relevant support;</w:t>
      </w:r>
    </w:p>
    <w:p>
      <w:pPr>
        <w:spacing w:before="0" w:after="0" w:line="408" w:lineRule="exact"/>
        <w:ind w:left="0" w:right="0" w:firstLine="576"/>
        <w:jc w:val="left"/>
      </w:pPr>
      <w:r>
        <w:rPr/>
        <w:t xml:space="preserve">(iv) A statement of unavailability if there are no known suitable services presently available in the individual's community that would meaningfully assist the individual; and</w:t>
      </w:r>
    </w:p>
    <w:p>
      <w:pPr>
        <w:spacing w:before="0" w:after="0" w:line="408" w:lineRule="exact"/>
        <w:ind w:left="0" w:right="0" w:firstLine="576"/>
        <w:jc w:val="left"/>
      </w:pPr>
      <w:r>
        <w:rPr/>
        <w:t xml:space="preserve">(v) Approximate cost of the services if not publicly provided.</w:t>
      </w:r>
    </w:p>
    <w:p>
      <w:pPr>
        <w:spacing w:before="0" w:after="0" w:line="408" w:lineRule="exact"/>
        <w:ind w:left="0" w:right="0" w:firstLine="576"/>
        <w:jc w:val="left"/>
      </w:pPr>
      <w:r>
        <w:rPr/>
        <w:t xml:space="preserve">(4) A person subject to biopsychosocial assessment and treatment or services shall be required by the court to substantially comply with more sustained services provided by a licensed behavioral health care provider, peer counseling program, or other case management program, as determined by the court.</w:t>
      </w:r>
    </w:p>
    <w:p>
      <w:pPr>
        <w:spacing w:before="0" w:after="0" w:line="408" w:lineRule="exact"/>
        <w:ind w:left="0" w:right="0" w:firstLine="576"/>
        <w:jc w:val="left"/>
      </w:pPr>
      <w:r>
        <w:rPr/>
        <w:t xml:space="preserve">(5) If the court directs a service plan after receiving an individual's assessment, the applicable program must provide the court with regular written status updates on the individual's progress on a schedule acceptable to the court. The updates must be provided at least monthly and filed under seal with the court, with copies given to the prosecuting attorney, the individual, and the individual's counsel. The updates and their copies are confidential and exempt from disclosure under chapter 42.56 RCW. The court shall endeavor to avoid public discussion of the circumstances, history, or diagnoses that could stigmatize the individual.</w:t>
      </w:r>
    </w:p>
    <w:p>
      <w:pPr>
        <w:spacing w:before="0" w:after="0" w:line="408" w:lineRule="exact"/>
        <w:ind w:left="0" w:right="0" w:firstLine="576"/>
        <w:jc w:val="left"/>
      </w:pPr>
      <w:r>
        <w:rPr/>
        <w:t xml:space="preserve">(6) Subject to the availability of funds appropriated for this purpose, the recommended treatment or services as ordered by the court shall be provided at no cost for sentenced individuals who have been found to be indigent by the court.</w:t>
      </w:r>
    </w:p>
    <w:p>
      <w:pPr>
        <w:spacing w:before="0" w:after="0" w:line="408" w:lineRule="exact"/>
        <w:ind w:left="0" w:right="0" w:firstLine="576"/>
        <w:jc w:val="left"/>
      </w:pPr>
      <w:r>
        <w:rPr/>
        <w:t xml:space="preserve">(7) As a condition of probation, the sentenced individual must substantially comply with the treatment or services recommendations of the biopsychosocial assessment.</w:t>
      </w:r>
    </w:p>
    <w:p>
      <w:pPr>
        <w:spacing w:before="0" w:after="0" w:line="408" w:lineRule="exact"/>
        <w:ind w:left="0" w:right="0" w:firstLine="576"/>
        <w:jc w:val="left"/>
      </w:pPr>
      <w:r>
        <w:rPr/>
        <w:t xml:space="preserve">(8)(a) If it appears to the prosecuting attorney that the sentenced individual is not substantially complying with the recommended treatment or services as reflected by a written status update from the applicable program, or, if applicable, the individual is not completing the court-ordered community service, the prosecuting attorney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At the hearing, the court must consider the following factors:</w:t>
      </w:r>
    </w:p>
    <w:p>
      <w:pPr>
        <w:spacing w:before="0" w:after="0" w:line="408" w:lineRule="exact"/>
        <w:ind w:left="0" w:right="0" w:firstLine="576"/>
        <w:jc w:val="left"/>
      </w:pPr>
      <w:r>
        <w:rPr/>
        <w:t xml:space="preserve">(i) The nature of the alleged noncompliance;</w:t>
      </w:r>
    </w:p>
    <w:p>
      <w:pPr>
        <w:spacing w:before="0" w:after="0" w:line="408" w:lineRule="exact"/>
        <w:ind w:left="0" w:right="0" w:firstLine="576"/>
        <w:jc w:val="left"/>
      </w:pPr>
      <w:r>
        <w:rPr/>
        <w:t xml:space="preserve">(ii) Whether the individual received written notice of the noncompliance;</w:t>
      </w:r>
    </w:p>
    <w:p>
      <w:pPr>
        <w:spacing w:before="0" w:after="0" w:line="408" w:lineRule="exact"/>
        <w:ind w:left="0" w:right="0" w:firstLine="576"/>
        <w:jc w:val="left"/>
      </w:pPr>
      <w:r>
        <w:rPr/>
        <w:t xml:space="preserve">(iii) Whether the noncompliance was willful in nature; and</w:t>
      </w:r>
    </w:p>
    <w:p>
      <w:pPr>
        <w:spacing w:before="0" w:after="0" w:line="408" w:lineRule="exact"/>
        <w:ind w:left="0" w:right="0" w:firstLine="576"/>
        <w:jc w:val="left"/>
      </w:pPr>
      <w:r>
        <w:rPr/>
        <w:t xml:space="preserve">(iv) Any other mitigating circumstances, including, but not limited to, the individual's efforts and due diligence, the availability of services in the geographic area, and the treatment and services offered to the individual.</w:t>
      </w:r>
    </w:p>
    <w:p>
      <w:pPr>
        <w:spacing w:before="0" w:after="0" w:line="408" w:lineRule="exact"/>
        <w:ind w:left="0" w:right="0" w:firstLine="576"/>
        <w:jc w:val="left"/>
      </w:pPr>
      <w:r>
        <w:rPr/>
        <w:t xml:space="preserve">(c) The individual shall have the right to present evidence at the hearing, including the right to present a defense, present witnesses, and cross-examine any witnesses.</w:t>
      </w:r>
    </w:p>
    <w:p>
      <w:pPr>
        <w:spacing w:before="0" w:after="0" w:line="408" w:lineRule="exact"/>
        <w:ind w:left="0" w:right="0" w:firstLine="576"/>
        <w:jc w:val="left"/>
      </w:pPr>
      <w:r>
        <w:rPr/>
        <w:t xml:space="preserve">(d) The prosecutor has the burden of establishing by clear and convincing evidence that the noncompliance was willful, and that the individual should be sanctioned.</w:t>
      </w:r>
    </w:p>
    <w:p>
      <w:pPr>
        <w:spacing w:before="0" w:after="0" w:line="408" w:lineRule="exact"/>
        <w:ind w:left="0" w:right="0" w:firstLine="576"/>
        <w:jc w:val="left"/>
      </w:pPr>
      <w:r>
        <w:rPr/>
        <w:t xml:space="preserve">(e) The court may not sanction an individual for failing to comply with the recommended treatment or services if the court finds the sentenced individual has made reasonable efforts to comply with the recommended treatment but cannot comply either due to a lack of available treatment or services or, for sentenced individuals found to be indigent by the court, due to a lack of funding for treatment or services.</w:t>
      </w:r>
    </w:p>
    <w:p>
      <w:pPr>
        <w:spacing w:before="0" w:after="0" w:line="408" w:lineRule="exact"/>
        <w:ind w:left="0" w:right="0" w:firstLine="576"/>
        <w:jc w:val="left"/>
      </w:pPr>
      <w:r>
        <w:rPr/>
        <w:t xml:space="preserve">(f) At the hearing, if the court finds by a preponderance of the evidence that the sentenced individual has willfully abandoned or demonstrated a consistent failure to substantially comply with the recommended treatment or services, or, if applicable, is failing to complete the court-ordered community service, the court shall use its discretion in determining an appropriate sanction.</w:t>
      </w:r>
    </w:p>
    <w:p>
      <w:pPr>
        <w:spacing w:before="0" w:after="0" w:line="408" w:lineRule="exact"/>
        <w:ind w:left="0" w:right="0" w:firstLine="576"/>
        <w:jc w:val="left"/>
      </w:pPr>
      <w:r>
        <w:rPr/>
        <w:t xml:space="preserve">(9) An individual sentenced under subsection (2) of this section may vacate their conviction for a violation of RCW 69.50.4011(1) (b) or (c), 69.50.4013, 69.50.4014, or 69.41.030(2) (b) or (c) as follows:</w:t>
      </w:r>
    </w:p>
    <w:p>
      <w:pPr>
        <w:spacing w:before="0" w:after="0" w:line="408" w:lineRule="exact"/>
        <w:ind w:left="0" w:right="0" w:firstLine="576"/>
        <w:jc w:val="left"/>
      </w:pPr>
      <w:r>
        <w:rPr/>
        <w:t xml:space="preserve">(a) If the individual has six months of substantial compliance with assessment and recommended treatment or services and progress toward recovery goals as reflected by a written status update from the applicable program, or, if applicable, the individual completes the court-ordered community service and files proof of completion with the court, the prosecutor shall make a motion to vacate the person's conviction or convictions and, upon verification of the written status update or the proof of completion of community service, the court shall terminate probation and enter an order vacating the individual's conviction; or</w:t>
      </w:r>
    </w:p>
    <w:p>
      <w:pPr>
        <w:spacing w:before="0" w:after="0" w:line="408" w:lineRule="exact"/>
        <w:ind w:left="0" w:right="0" w:firstLine="576"/>
        <w:jc w:val="left"/>
      </w:pPr>
      <w:r>
        <w:rPr/>
        <w:t xml:space="preserve">(b) If the individual has had no additional arrests, charges, or criminal convictions in the two years after the individual's conviction for a violation of RCW 69.50.4011(1) (b) or (c), 69.50.4013, 69.50.4014, or 69.41.030(2) (b) or (c), the prosecutor shall make a motion to the court to vacate the individual's conviction, and the court shall terminate probation and enter an order vacating the individual's conviction.</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"Applicable program" means the recovery navigator program established under RCW 71.24.115, arrest and jail alternative programs established under RCW 36.28A.450, or law enforcement assisted diversion programs established under RCW 71.24.589.</w:t>
      </w:r>
    </w:p>
    <w:p>
      <w:pPr>
        <w:spacing w:before="0" w:after="0" w:line="408" w:lineRule="exact"/>
        <w:ind w:left="0" w:right="0" w:firstLine="576"/>
        <w:jc w:val="left"/>
      </w:pPr>
      <w:r>
        <w:rPr/>
        <w:t xml:space="preserve">(b) "Substantial compliance" means an individual actively engaging with or making himself or herself available to treatment and services. The individual is not in substantial compliance if he or she willfully abandons treatment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w:t>
      </w:r>
      <w:r>
        <w:rPr>
          <w:u w:val="single"/>
        </w:rPr>
        <w:t xml:space="preserve">and section 11 of this act</w:t>
      </w:r>
      <w:r>
        <w:rPr/>
        <w:t xml:space="preserve">,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has had no additional criminal arrests, charges, or convictions in the two years after the person's conviction or convictions for violating RCW 69.50.4011(1) (b) or (c), 69.50.4013, 69.50.4014, or 69.41.030(2) (b) or (c), the prosecutor shall make a motion to vacate the individual's conviction or convictions, and the court shall grant the motion and enter an order vacating the individual's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collect data and information related to the utilization and outcomes of pretrial diversions pursuant to section 10 of this act, convictions pursuant to section 11 of this act, and motions for vacating convictions pursuant to RCW 9.96.060(6), including but not limited to the following:</w:t>
      </w:r>
    </w:p>
    <w:p>
      <w:pPr>
        <w:spacing w:before="0" w:after="0" w:line="408" w:lineRule="exact"/>
        <w:ind w:left="0" w:right="0" w:firstLine="576"/>
        <w:jc w:val="left"/>
      </w:pPr>
      <w:r>
        <w:rPr/>
        <w:t xml:space="preserve">(a) The recidivism rate for persons who either participated in a pretrial diversion pursuant to section 10 of this act, or who were sentenced pursuant to section 11 of this act and agreed as a condition of probation to obtain a biopsychosocial assessment and participate in recommended treatment or services;</w:t>
      </w:r>
    </w:p>
    <w:p>
      <w:pPr>
        <w:spacing w:before="0" w:after="0" w:line="408" w:lineRule="exact"/>
        <w:ind w:left="0" w:right="0" w:firstLine="576"/>
        <w:jc w:val="left"/>
      </w:pPr>
      <w:r>
        <w:rPr/>
        <w:t xml:space="preserve">(b) The number of pretrial diversions granted pursuant to section 10 of this act and whether such diversions were terminated, were successfully completed and resulted in a dismissal, or are still ongoing;</w:t>
      </w:r>
    </w:p>
    <w:p>
      <w:pPr>
        <w:spacing w:before="0" w:after="0" w:line="408" w:lineRule="exact"/>
        <w:ind w:left="0" w:right="0" w:firstLine="576"/>
        <w:jc w:val="left"/>
      </w:pPr>
      <w:r>
        <w:rPr/>
        <w:t xml:space="preserve">(c) The number of people convicted of a violation of RCW 69.50.4011(1) (b) or (c), 69.50.4013, 69.50.4014, or 69.41.030(2) (b) or (c);</w:t>
      </w:r>
    </w:p>
    <w:p>
      <w:pPr>
        <w:spacing w:before="0" w:after="0" w:line="408" w:lineRule="exact"/>
        <w:ind w:left="0" w:right="0" w:firstLine="576"/>
        <w:jc w:val="left"/>
      </w:pPr>
      <w:r>
        <w:rPr/>
        <w:t xml:space="preserve">(d) Statistical data comparing the sentences imposed pursuant to section 11 of this act, and the convictions vacated pursuant to RCW 9.96.060(6), in specific courts and in different regions of Washington;</w:t>
      </w:r>
    </w:p>
    <w:p>
      <w:pPr>
        <w:spacing w:before="0" w:after="0" w:line="408" w:lineRule="exact"/>
        <w:ind w:left="0" w:right="0" w:firstLine="576"/>
        <w:jc w:val="left"/>
      </w:pPr>
      <w:r>
        <w:rPr/>
        <w:t xml:space="preserve">(e) The number of charged violations of RCW 69.50.4011(1) (b) or (c), 69.50.4013, 69.50.4014, and 69.41.030(2) (b) or (c) involving repeat offenders; and</w:t>
      </w:r>
    </w:p>
    <w:p>
      <w:pPr>
        <w:spacing w:before="0" w:after="0" w:line="408" w:lineRule="exact"/>
        <w:ind w:left="0" w:right="0" w:firstLine="576"/>
        <w:jc w:val="left"/>
      </w:pPr>
      <w:r>
        <w:rPr/>
        <w:t xml:space="preserve">(f) The number of charged violations of RCW 69.50.4011(1) (b) or (c), 69.50.4013, 69.50.4014, and 69.41.030(2) (b) or (c) involving persons who previously participated in pretrial diversion pursuant to section 10 of this act, or who were previously sentenced pursuant to section 11 of this act and agreed as a condition of probation to obtain a biopsychosocial assessment and participate in recommended treatment or services.</w:t>
      </w:r>
    </w:p>
    <w:p>
      <w:pPr>
        <w:spacing w:before="0" w:after="0" w:line="408" w:lineRule="exact"/>
        <w:ind w:left="0" w:right="0" w:firstLine="576"/>
        <w:jc w:val="left"/>
      </w:pPr>
      <w:r>
        <w:rPr/>
        <w:t xml:space="preserve">(2) Beginning January 1, 2024, the administrative office of the courts shall collect the following additional data and information from the statewide pretrial diversion tracking and reporting system created under section 14 of this act:</w:t>
      </w:r>
    </w:p>
    <w:p>
      <w:pPr>
        <w:spacing w:before="0" w:after="0" w:line="408" w:lineRule="exact"/>
        <w:ind w:left="0" w:right="0" w:firstLine="576"/>
        <w:jc w:val="left"/>
      </w:pPr>
      <w:r>
        <w:rPr/>
        <w:t xml:space="preserve">(a) Aggregated and disaggregated demographic data for pretrial diversions under section 10 of this act, that identifies trends or disparities in utilization or outcomes based on race, ethnicity, gender, gender expression or identity, disability status, age, and any other appropriate characteristics as determined by the administrative office of the courts; and</w:t>
      </w:r>
    </w:p>
    <w:p>
      <w:pPr>
        <w:spacing w:before="0" w:after="0" w:line="408" w:lineRule="exact"/>
        <w:ind w:left="0" w:right="0" w:firstLine="576"/>
        <w:jc w:val="left"/>
      </w:pPr>
      <w:r>
        <w:rPr/>
        <w:t xml:space="preserve">(b) Statistical data comparing the relative utilization and outcomes of pretrial diversions pursuant to section 10 of this act in specific courts and in different regions of Washington.</w:t>
      </w:r>
    </w:p>
    <w:p>
      <w:pPr>
        <w:spacing w:before="0" w:after="0" w:line="408" w:lineRule="exact"/>
        <w:ind w:left="0" w:right="0" w:firstLine="576"/>
        <w:jc w:val="left"/>
      </w:pPr>
      <w:r>
        <w:rPr/>
        <w:t xml:space="preserve">(3) Beginning August 1, 2024, and on August 1st of every year thereafter, the administrative office of the courts shall submit an annual report to the legislature containing the data and information described in subsections (1) and (2) of this section.</w:t>
      </w:r>
    </w:p>
    <w:p>
      <w:pPr>
        <w:spacing w:before="0" w:after="0" w:line="408" w:lineRule="exact"/>
        <w:ind w:left="0" w:right="0" w:firstLine="576"/>
        <w:jc w:val="left"/>
      </w:pPr>
      <w:r>
        <w:rPr/>
        <w:t xml:space="preserve">(4) For the purposes of this section, "recidivism" means a person's subsequent conviction for any criminal offense within three years of the person successfully completing a pretrial diversion under section 10 of this act, or completing the terms of a sentence under section 11 of this act where the person agreed as a condition of probation to obtain a biopsychosocial assessment and participate in recommended treatment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January 1, 2024, subject to the availability of funds appropriated for this specific purpose, the administrative office of the courts shall establish and maintain a statewide pretrial diversion tracking and reporting system for pretrial diversions under section 10 of this act.</w:t>
      </w:r>
    </w:p>
    <w:p>
      <w:pPr>
        <w:spacing w:before="0" w:after="0" w:line="408" w:lineRule="exact"/>
        <w:ind w:left="0" w:right="0" w:firstLine="576"/>
        <w:jc w:val="left"/>
      </w:pPr>
      <w:r>
        <w:rPr/>
        <w:t xml:space="preserve">(2) The system must allow prosecuting attorneys to input data and information related to the utilization and outcomes of pretrial diversions under section 10 of this act, including but not limited to the following:</w:t>
      </w:r>
    </w:p>
    <w:p>
      <w:pPr>
        <w:spacing w:before="0" w:after="0" w:line="408" w:lineRule="exact"/>
        <w:ind w:left="0" w:right="0" w:firstLine="576"/>
        <w:jc w:val="left"/>
      </w:pPr>
      <w:r>
        <w:rPr/>
        <w:t xml:space="preserve">(a) Whether such diversions were terminated, were successfully completed and resulted in a dismissal, or are still ongoing;</w:t>
      </w:r>
    </w:p>
    <w:p>
      <w:pPr>
        <w:spacing w:before="0" w:after="0" w:line="408" w:lineRule="exact"/>
        <w:ind w:left="0" w:right="0" w:firstLine="576"/>
        <w:jc w:val="left"/>
      </w:pPr>
      <w:r>
        <w:rPr/>
        <w:t xml:space="preserve">(b) The race, ethnicity, gender, gender expression or identity, disability status, and age of defendants who participate in pretrial diversion; and</w:t>
      </w:r>
    </w:p>
    <w:p>
      <w:pPr>
        <w:spacing w:before="0" w:after="0" w:line="408" w:lineRule="exact"/>
        <w:ind w:left="0" w:right="0" w:firstLine="576"/>
        <w:jc w:val="left"/>
      </w:pPr>
      <w:r>
        <w:rPr/>
        <w:t xml:space="preserve">(c) Any other appropriate data and information as determined by the administrative office of the courts.</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21, chapter . . ., Laws of 2023 (section 21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21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21 of this act;</w:t>
      </w:r>
    </w:p>
    <w:p>
      <w:pPr>
        <w:spacing w:before="0" w:after="0" w:line="408" w:lineRule="exact"/>
        <w:ind w:left="0" w:right="0" w:firstLine="576"/>
        <w:jc w:val="left"/>
      </w:pPr>
      <w:r>
        <w:rPr/>
        <w:t xml:space="preserve">(b) The amount of annual property tax relief resulting from the tax exemption under section 21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21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21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21 of this act.</w:t>
      </w:r>
    </w:p>
    <w:p>
      <w:pPr>
        <w:spacing w:before="0" w:after="0" w:line="408" w:lineRule="exact"/>
        <w:ind w:left="0" w:right="0" w:firstLine="576"/>
        <w:jc w:val="left"/>
      </w:pPr>
      <w:r>
        <w:rPr/>
        <w:t xml:space="preserve">(5) The legislature intends to extend the expiration date of the property tax exemption under section 21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21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21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21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21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21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available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 The health care authority must engage and consult with the law enforcement assisted diversion national support bureau on data integration approaches, platforms, quality assurance protocols, and validation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the law enforcement assisted diversion national support bureau, and the substance use recovery services advisory committee under RCW 71.24.546 on the topic of data collection and to determine the parameters of the report, which shall include recommendations, if any, for modification and improvement of the recovery navigator program. The law enforcement assisted diversion national support bureau may supplement the report with additional recommendations to improve the recovery navigator program by enhancing its ability to provide a viable, accepted, community-based care alternative to jail and prosecution.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December 31, 2023,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(7)(a) The criminal justice training commission, in consultation with the authority and other key stakeholders, shall conduct an assessment of the current status toward achieving the statewide implementation of recovery navigator programs in fidelity with core principles. The assessment shall consider:</w:t>
      </w:r>
    </w:p>
    <w:p>
      <w:pPr>
        <w:spacing w:before="0" w:after="0" w:line="408" w:lineRule="exact"/>
        <w:ind w:left="0" w:right="0" w:firstLine="576"/>
        <w:jc w:val="left"/>
      </w:pPr>
      <w:r>
        <w:rPr>
          <w:u w:val="single"/>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u w:val="single"/>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u w:val="single"/>
        </w:rPr>
        <w:t xml:space="preserve">(iii) Barriers to achieving fidelity to core principles.</w:t>
      </w:r>
    </w:p>
    <w:p>
      <w:pPr>
        <w:spacing w:before="0" w:after="0" w:line="408" w:lineRule="exact"/>
        <w:ind w:left="0" w:right="0" w:firstLine="576"/>
        <w:jc w:val="left"/>
      </w:pPr>
      <w:r>
        <w:rPr>
          <w:u w:val="single"/>
        </w:rPr>
        <w:t xml:space="preserve">(b) By December 1, 2023, the criminal justice training commission shall submit to the governor and both chambers of the legislature a report of its findings and recommendations on administrative and legislative steps that will facilitate the achievement of the statewide adoption of recovery navigator programs operating in fidelity with core principles.</w:t>
      </w:r>
    </w:p>
    <w:p>
      <w:pPr>
        <w:spacing w:before="0" w:after="0" w:line="408" w:lineRule="exact"/>
        <w:ind w:left="0" w:right="0" w:firstLine="576"/>
        <w:jc w:val="left"/>
      </w:pPr>
      <w:r>
        <w:rPr>
          <w:u w:val="single"/>
        </w:rPr>
        <w:t xml:space="preserve">(8)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(9) For the purposes of this section, the term "core principles" means the core principles of a law enforcement assisted diversion program, as established by the law enforcement assisted diversion national support bureau in its toolkit, as it existed on May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 </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A health engagement hub is intended to:</w:t>
      </w:r>
    </w:p>
    <w:p>
      <w:pPr>
        <w:spacing w:before="0" w:after="0" w:line="408" w:lineRule="exact"/>
        <w:ind w:left="0" w:right="0" w:firstLine="576"/>
        <w:jc w:val="left"/>
      </w:pPr>
      <w:r>
        <w:rPr/>
        <w:t xml:space="preserve">(a) Serve as an all-in-one location where people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w:t>
      </w:r>
    </w:p>
    <w:p>
      <w:pPr>
        <w:spacing w:before="0" w:after="0" w:line="408" w:lineRule="exact"/>
        <w:ind w:left="0" w:right="0" w:firstLine="576"/>
        <w:jc w:val="left"/>
      </w:pPr>
      <w:r>
        <w:rPr/>
        <w:t xml:space="preserve">(f) Provide linkage to housing, transportation, and other support services; and</w:t>
      </w:r>
    </w:p>
    <w:p>
      <w:pPr>
        <w:spacing w:before="0" w:after="0" w:line="408" w:lineRule="exact"/>
        <w:ind w:left="0" w:right="0" w:firstLine="576"/>
        <w:jc w:val="left"/>
      </w:pPr>
      <w:r>
        <w:rPr/>
        <w:t xml:space="preserve">(g) Be open to youth as well as adults.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Continue and expand efforts to provide opioid use disorder medication in city, county, regional, and tribal jails;</w:t>
      </w:r>
    </w:p>
    <w:p>
      <w:pPr>
        <w:spacing w:before="0" w:after="0" w:line="408" w:lineRule="exact"/>
        <w:ind w:left="0" w:right="0" w:firstLine="576"/>
        <w:jc w:val="left"/>
      </w:pPr>
      <w:r>
        <w:rPr/>
        <w:t xml:space="preserve">(2) Provide support funds to new and established recovery support services including clubhouses throughout the state;</w:t>
      </w:r>
    </w:p>
    <w:p>
      <w:pPr>
        <w:spacing w:before="0" w:after="0" w:line="408" w:lineRule="exact"/>
        <w:ind w:left="0" w:right="0" w:firstLine="576"/>
        <w:jc w:val="left"/>
      </w:pPr>
      <w:r>
        <w:rPr/>
        <w:t xml:space="preserve">(3) Award grants to an equivalent number of crisis services providers to the west and the east of the Cascade mountains, to establish and expand 23-hour crisis relief center capacity;</w:t>
      </w:r>
    </w:p>
    <w:p>
      <w:pPr>
        <w:spacing w:before="0" w:after="0" w:line="408" w:lineRule="exact"/>
        <w:ind w:left="0" w:right="0" w:firstLine="576"/>
        <w:jc w:val="left"/>
      </w:pPr>
      <w:r>
        <w:rPr/>
        <w:t xml:space="preserve">(4) Maintain a memorandum of understanding with the criminal justice training commission to provide ongoing funding for community grants pursuant to RCW 36.28A.450; and</w:t>
      </w:r>
    </w:p>
    <w:p>
      <w:pPr>
        <w:spacing w:before="0" w:after="0" w:line="408" w:lineRule="exact"/>
        <w:ind w:left="0" w:right="0" w:firstLine="576"/>
        <w:jc w:val="left"/>
      </w:pPr>
      <w:r>
        <w:rPr/>
        <w:t xml:space="preserve">(5) Provide ongoing grants to law enforcement assistant diversion programs under RCW 71.24.589.</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8 through 12, and 35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Reclassifies the offenses of possession of a controlled substance and possession of a counterfeit substance as misdemeanors, rather than gross misdemeanors.</w:t>
      </w:r>
    </w:p>
    <w:p>
      <w:pPr>
        <w:spacing w:before="0" w:after="0" w:line="408" w:lineRule="exact"/>
        <w:ind w:left="0" w:right="0" w:firstLine="576"/>
        <w:jc w:val="left"/>
      </w:pPr>
      <w:r>
        <w:rPr/>
        <w:t xml:space="preserve">(2) Establishes the offenses of knowing possession and use of a controlled substance, counterfeit substance, or legend drug in a public place as misdemeanors, subject to certain exceptions.</w:t>
      </w:r>
    </w:p>
    <w:p>
      <w:pPr>
        <w:spacing w:before="0" w:after="0" w:line="408" w:lineRule="exact"/>
        <w:ind w:left="0" w:right="0" w:firstLine="576"/>
        <w:jc w:val="left"/>
      </w:pPr>
      <w:r>
        <w:rPr/>
        <w:t xml:space="preserve">(3) Encourages prosecutors to divert applicable drug offenses for assessment, treatment, or other services, through a recovery navigator program (RNP) or a comparable program.</w:t>
      </w:r>
    </w:p>
    <w:p>
      <w:pPr>
        <w:spacing w:before="0" w:after="0" w:line="408" w:lineRule="exact"/>
        <w:ind w:left="0" w:right="0" w:firstLine="576"/>
        <w:jc w:val="left"/>
      </w:pPr>
      <w:r>
        <w:rPr/>
        <w:t xml:space="preserve">(4) Provides that, upon arraignment for applicable drug offenses, the court is required to determine whether the defendant has been advised by the defendant's attorney about pretrial diversion, rather than give such advisement directly to the defendant.</w:t>
      </w:r>
    </w:p>
    <w:p>
      <w:pPr>
        <w:spacing w:before="0" w:after="0" w:line="408" w:lineRule="exact"/>
        <w:ind w:left="0" w:right="0" w:firstLine="576"/>
        <w:jc w:val="left"/>
      </w:pPr>
      <w:r>
        <w:rPr/>
        <w:t xml:space="preserve">(5) Eliminates the specific appropriation made for the Washington state patrol related to testing evidence submitted for suspected drug offenses within 45 days, and instead makes such testing requirements subject to the availability of funds.</w:t>
      </w:r>
    </w:p>
    <w:p>
      <w:pPr>
        <w:spacing w:before="0" w:after="0" w:line="408" w:lineRule="exact"/>
        <w:ind w:left="0" w:right="0" w:firstLine="576"/>
        <w:jc w:val="left"/>
      </w:pPr>
      <w:r>
        <w:rPr/>
        <w:t xml:space="preserve">(6) Provides that the prohibition on selling or permitting the sale of drug paraphernalia does not apply to distribution of certain supplies by outreach, shelter, and housing programs.</w:t>
      </w:r>
    </w:p>
    <w:p>
      <w:pPr>
        <w:spacing w:before="0" w:after="0" w:line="408" w:lineRule="exact"/>
        <w:ind w:left="0" w:right="0" w:firstLine="576"/>
        <w:jc w:val="left"/>
      </w:pPr>
      <w:r>
        <w:rPr/>
        <w:t xml:space="preserve">(7) Provides that the state occupies and preempts the field of drug paraphernalia regulation.</w:t>
      </w:r>
    </w:p>
    <w:p>
      <w:pPr>
        <w:spacing w:before="0" w:after="0" w:line="408" w:lineRule="exact"/>
        <w:ind w:left="0" w:right="0" w:firstLine="576"/>
        <w:jc w:val="left"/>
      </w:pPr>
      <w:r>
        <w:rPr/>
        <w:t xml:space="preserve">(8) Modifies provisions related to pretrial diversions for applicable drug offenses, including by:</w:t>
      </w:r>
    </w:p>
    <w:p>
      <w:pPr>
        <w:spacing w:before="0" w:after="0" w:line="408" w:lineRule="exact"/>
        <w:ind w:left="0" w:right="0" w:firstLine="576"/>
        <w:jc w:val="left"/>
      </w:pPr>
      <w:r>
        <w:rPr/>
        <w:t xml:space="preserve">• Expanding the circumstances when pretrial diversion is available to include when a person is charged with knowing possession and use of a controlled substance, counterfeit substance, or legend drug in a public place;</w:t>
      </w:r>
    </w:p>
    <w:p>
      <w:pPr>
        <w:spacing w:before="0" w:after="0" w:line="408" w:lineRule="exact"/>
        <w:ind w:left="0" w:right="0" w:firstLine="576"/>
        <w:jc w:val="left"/>
      </w:pPr>
      <w:r>
        <w:rPr/>
        <w:t xml:space="preserve">• Encouraging prosecuting attorneys to divert cases meeting certain criteria;</w:t>
      </w:r>
    </w:p>
    <w:p>
      <w:pPr>
        <w:spacing w:before="0" w:after="0" w:line="408" w:lineRule="exact"/>
        <w:ind w:left="0" w:right="0" w:firstLine="576"/>
        <w:jc w:val="left"/>
      </w:pPr>
      <w:r>
        <w:rPr/>
        <w:t xml:space="preserve">• Requiring the court to grant a motion for pretrial diversion in circumstances when the defendant is only charged with an applicable drug offense, and the defendant has not been convicted of any offenses committed after July 1, 2023;</w:t>
      </w:r>
    </w:p>
    <w:p>
      <w:pPr>
        <w:spacing w:before="0" w:after="0" w:line="408" w:lineRule="exact"/>
        <w:ind w:left="0" w:right="0" w:firstLine="576"/>
        <w:jc w:val="left"/>
      </w:pPr>
      <w:r>
        <w:rPr/>
        <w:t xml:space="preserve">• Requiring the court to provide the defendant and the defendant's counsel with specific information prior to granting a motion for pretrial diversion;</w:t>
      </w:r>
    </w:p>
    <w:p>
      <w:pPr>
        <w:spacing w:before="0" w:after="0" w:line="408" w:lineRule="exact"/>
        <w:ind w:left="0" w:right="0" w:firstLine="576"/>
        <w:jc w:val="left"/>
      </w:pPr>
      <w:r>
        <w:rPr/>
        <w:t xml:space="preserve">• Eliminating the provisions related to making resources available to assist an applicable defendant with obtaining a substance use disorder (SUD) evaluation, assisting the defendant with transportation to the evaluation, allowing the court to contract with a third party to provide SUD assessments and services, and requiring state reimbursement of associated costs;</w:t>
      </w:r>
    </w:p>
    <w:p>
      <w:pPr>
        <w:spacing w:before="0" w:after="0" w:line="408" w:lineRule="exact"/>
        <w:ind w:left="0" w:right="0" w:firstLine="576"/>
        <w:jc w:val="left"/>
      </w:pPr>
      <w:r>
        <w:rPr/>
        <w:t xml:space="preserve">• Providing that an "applicable program" for pretrial diversion means a RNP, law enforcement assisted diversion (LEAD) program, or arrest and jail alternative program;</w:t>
      </w:r>
    </w:p>
    <w:p>
      <w:pPr>
        <w:spacing w:before="0" w:after="0" w:line="408" w:lineRule="exact"/>
        <w:ind w:left="0" w:right="0" w:firstLine="576"/>
        <w:jc w:val="left"/>
      </w:pPr>
      <w:r>
        <w:rPr/>
        <w:t xml:space="preserve">• Providing that "substantial compliance" means a defendant actively engaging with or making himself or herself available to treatment and services, and that the defendant is not in substantial compliance if he or she willfully abandons treatment and services;</w:t>
      </w:r>
    </w:p>
    <w:p>
      <w:pPr>
        <w:spacing w:before="0" w:after="0" w:line="408" w:lineRule="exact"/>
        <w:ind w:left="0" w:right="0" w:firstLine="576"/>
        <w:jc w:val="left"/>
      </w:pPr>
      <w:r>
        <w:rPr/>
        <w:t xml:space="preserve">• Providing that an applicable program, rather than a treatment program, must make a written report to the court stating its findings and recommendations based on a biopsychosocial assessment and provide written status updates at least monthly, and that such report and updates must be filed under seal with the court, with copies given to certain parties;</w:t>
      </w:r>
    </w:p>
    <w:p>
      <w:pPr>
        <w:spacing w:before="0" w:after="0" w:line="408" w:lineRule="exact"/>
        <w:ind w:left="0" w:right="0" w:firstLine="576"/>
        <w:jc w:val="left"/>
      </w:pPr>
      <w:r>
        <w:rPr/>
        <w:t xml:space="preserve">• Exempting the written report and updates and their copies from disclosure under the public records act;</w:t>
      </w:r>
    </w:p>
    <w:p>
      <w:pPr>
        <w:spacing w:before="0" w:after="0" w:line="408" w:lineRule="exact"/>
        <w:ind w:left="0" w:right="0" w:firstLine="576"/>
        <w:jc w:val="left"/>
      </w:pPr>
      <w:r>
        <w:rPr/>
        <w:t xml:space="preserve">• Providing that if the applicable program's written report does not recommend any treatment or services, the defendant must instead complete an amount of community service as determined by the court, but not to exceed 120 hours;</w:t>
      </w:r>
    </w:p>
    <w:p>
      <w:pPr>
        <w:spacing w:before="0" w:after="0" w:line="408" w:lineRule="exact"/>
        <w:ind w:left="0" w:right="0" w:firstLine="576"/>
        <w:jc w:val="left"/>
      </w:pPr>
      <w:r>
        <w:rPr/>
        <w:t xml:space="preserve">• Requiring the court to endeavor to avoid public discussion of certain stigmatizing topics;</w:t>
      </w:r>
    </w:p>
    <w:p>
      <w:pPr>
        <w:spacing w:before="0" w:after="0" w:line="408" w:lineRule="exact"/>
        <w:ind w:left="0" w:right="0" w:firstLine="576"/>
        <w:jc w:val="left"/>
      </w:pPr>
      <w:r>
        <w:rPr/>
        <w:t xml:space="preserve">• Limiting when the prosecuting attorney may make a motion for termination from pretrial diversion to when it appears that the defendant is not substantially complying with the recommended treatment or services, or, if applicable, the community service;</w:t>
      </w:r>
    </w:p>
    <w:p>
      <w:pPr>
        <w:spacing w:before="0" w:after="0" w:line="408" w:lineRule="exact"/>
        <w:ind w:left="0" w:right="0" w:firstLine="576"/>
        <w:jc w:val="left"/>
      </w:pPr>
      <w:r>
        <w:rPr/>
        <w:t xml:space="preserve">• Requiring the court to consider certain factors at a hearing on a motion to terminate pretrial diversion;</w:t>
      </w:r>
    </w:p>
    <w:p>
      <w:pPr>
        <w:spacing w:before="0" w:after="0" w:line="408" w:lineRule="exact"/>
        <w:ind w:left="0" w:right="0" w:firstLine="576"/>
        <w:jc w:val="left"/>
      </w:pPr>
      <w:r>
        <w:rPr/>
        <w:t xml:space="preserve">• Providing the defendant the right to present evidence at a hearing on a motion to terminate pretrial diversion, including the right to present a defense, present witnesses, and cross-examine any witnesses;</w:t>
      </w:r>
    </w:p>
    <w:p>
      <w:pPr>
        <w:spacing w:before="0" w:after="0" w:line="408" w:lineRule="exact"/>
        <w:ind w:left="0" w:right="0" w:firstLine="576"/>
        <w:jc w:val="left"/>
      </w:pPr>
      <w:r>
        <w:rPr/>
        <w:t xml:space="preserve">• Providing that, at a hearing on a motion to terminate pretrial diversion, the prosecutor must establish by clear and convincing evidence that the noncompliance was willful, and that the defendant should be terminated from pretrial diversion;</w:t>
      </w:r>
    </w:p>
    <w:p>
      <w:pPr>
        <w:spacing w:before="0" w:after="0" w:line="408" w:lineRule="exact"/>
        <w:ind w:left="0" w:right="0" w:firstLine="576"/>
        <w:jc w:val="left"/>
      </w:pPr>
      <w:r>
        <w:rPr/>
        <w:t xml:space="preserve">• Requiring the prosecuting attorney, beginning January 1, 2024, to input certain data and information about applicable cases in the statewide pretrial diversion tracking and reporting system; and</w:t>
      </w:r>
    </w:p>
    <w:p>
      <w:pPr>
        <w:spacing w:before="0" w:after="0" w:line="408" w:lineRule="exact"/>
        <w:ind w:left="0" w:right="0" w:firstLine="576"/>
        <w:jc w:val="left"/>
      </w:pPr>
      <w:r>
        <w:rPr/>
        <w:t xml:space="preserve">• Providing that the defendant successfully completes pretrial diversion by having six months of substantial compliance with assessment and recommended treatment or services and progress toward recovery goals as reflected by a written status update from the applicable program, or, if no treatment or services were recommended by the applicable program, by completing the community service and submitting proof of completion to the court.</w:t>
      </w:r>
    </w:p>
    <w:p>
      <w:pPr>
        <w:spacing w:before="0" w:after="0" w:line="408" w:lineRule="exact"/>
        <w:ind w:left="0" w:right="0" w:firstLine="576"/>
        <w:jc w:val="left"/>
      </w:pPr>
      <w:r>
        <w:rPr/>
        <w:t xml:space="preserve">(9) Modifies provisions related to sentencing requirements for applicable drug offenses, including by:</w:t>
      </w:r>
    </w:p>
    <w:p>
      <w:pPr>
        <w:spacing w:before="0" w:after="0" w:line="408" w:lineRule="exact"/>
        <w:ind w:left="0" w:right="0" w:firstLine="576"/>
        <w:jc w:val="left"/>
      </w:pPr>
      <w:r>
        <w:rPr/>
        <w:t xml:space="preserve">• Expanding the circumstances when a court is required to impose certain sentences and conditions for applicable drug offense convictions to include when a person convicted agrees to obtain a biopsychosocial assessment by an applicable program and recommended treatment or services, or, if applicable, to complete court-ordered community service, as a condition of probation;</w:t>
      </w:r>
    </w:p>
    <w:p>
      <w:pPr>
        <w:spacing w:before="0" w:after="0" w:line="408" w:lineRule="exact"/>
        <w:ind w:left="0" w:right="0" w:firstLine="576"/>
        <w:jc w:val="left"/>
      </w:pPr>
      <w:r>
        <w:rPr/>
        <w:t xml:space="preserve">• Eliminating the provisions related to making resources available to assist an applicable person with obtaining an SUD evaluation, assisting the person with transportation to the evaluation, allowing the court to contract with a third party to provide SUD assessments and services, and requiring state reimbursement of associated costs;</w:t>
      </w:r>
    </w:p>
    <w:p>
      <w:pPr>
        <w:spacing w:before="0" w:after="0" w:line="408" w:lineRule="exact"/>
        <w:ind w:left="0" w:right="0" w:firstLine="576"/>
        <w:jc w:val="left"/>
      </w:pPr>
      <w:r>
        <w:rPr/>
        <w:t xml:space="preserve">• Eliminating the provisions requiring the court to grant a person credit for all confinement time served presentencing for applicable drug offenses when such confinement was solely in regard to the offense for which the person is being sentenced;</w:t>
      </w:r>
    </w:p>
    <w:p>
      <w:pPr>
        <w:spacing w:before="0" w:after="0" w:line="408" w:lineRule="exact"/>
        <w:ind w:left="0" w:right="0" w:firstLine="576"/>
        <w:jc w:val="left"/>
      </w:pPr>
      <w:r>
        <w:rPr/>
        <w:t xml:space="preserve">• Eliminating the 21-day mandatory minimum sentences for persons convicted of applicable drug offenses who refuse to obtain an SUD assessment and recommended treatment or services as a condition of probation;</w:t>
      </w:r>
    </w:p>
    <w:p>
      <w:pPr>
        <w:spacing w:before="0" w:after="0" w:line="408" w:lineRule="exact"/>
        <w:ind w:left="0" w:right="0" w:firstLine="576"/>
        <w:jc w:val="left"/>
      </w:pPr>
      <w:r>
        <w:rPr/>
        <w:t xml:space="preserve">• Eliminating the provision related to assisting an applicable person with transportation to an SUD evaluation;</w:t>
      </w:r>
    </w:p>
    <w:p>
      <w:pPr>
        <w:spacing w:before="0" w:after="0" w:line="408" w:lineRule="exact"/>
        <w:ind w:left="0" w:right="0" w:firstLine="576"/>
        <w:jc w:val="left"/>
      </w:pPr>
      <w:r>
        <w:rPr/>
        <w:t xml:space="preserve">• Providing that an "applicable program" for completing the agreed terms of probation means a RNP, LEAD program, or arrest and jail alternative program;</w:t>
      </w:r>
    </w:p>
    <w:p>
      <w:pPr>
        <w:spacing w:before="0" w:after="0" w:line="408" w:lineRule="exact"/>
        <w:ind w:left="0" w:right="0" w:firstLine="576"/>
        <w:jc w:val="left"/>
      </w:pPr>
      <w:r>
        <w:rPr/>
        <w:t xml:space="preserve">• Providing that "substantial compliance" means a person actively engaging with or making himself or herself available to treatment and services, and that the person is not in substantial compliance if he or she willfully abandons treatment and services;</w:t>
      </w:r>
    </w:p>
    <w:p>
      <w:pPr>
        <w:spacing w:before="0" w:after="0" w:line="408" w:lineRule="exact"/>
        <w:ind w:left="0" w:right="0" w:firstLine="576"/>
        <w:jc w:val="left"/>
      </w:pPr>
      <w:r>
        <w:rPr/>
        <w:t xml:space="preserve">• Providing that an applicable program, rather than an SUD treatment program, must prepare a biopsychosocial assessment, and that such assessment must be filed under seal with the court;</w:t>
      </w:r>
    </w:p>
    <w:p>
      <w:pPr>
        <w:spacing w:before="0" w:after="0" w:line="408" w:lineRule="exact"/>
        <w:ind w:left="0" w:right="0" w:firstLine="576"/>
        <w:jc w:val="left"/>
      </w:pPr>
      <w:r>
        <w:rPr/>
        <w:t xml:space="preserve">• Eliminating the provision requiring all individuals providing assessments to implement a specific integrated and comprehensive screening and assessment process for co-occurring SUDs and mental health disorders;</w:t>
      </w:r>
    </w:p>
    <w:p>
      <w:pPr>
        <w:spacing w:before="0" w:after="0" w:line="408" w:lineRule="exact"/>
        <w:ind w:left="0" w:right="0" w:firstLine="576"/>
        <w:jc w:val="left"/>
      </w:pPr>
      <w:r>
        <w:rPr/>
        <w:t xml:space="preserve">• Requiring the court to determine whether an applicable person, based on the person's biopsychosocial assessment, must be required to complete sustained services from a licensed behavioral health care provider, peer counseling program, or other case management program, rather than complete intensive treatment in an approved treatment program;</w:t>
      </w:r>
    </w:p>
    <w:p>
      <w:pPr>
        <w:spacing w:before="0" w:after="0" w:line="408" w:lineRule="exact"/>
        <w:ind w:left="0" w:right="0" w:firstLine="576"/>
        <w:jc w:val="left"/>
      </w:pPr>
      <w:r>
        <w:rPr/>
        <w:t xml:space="preserve">• Requiring the court to order an applicable person to complete an amount of community service not to exceed 120 hours, as a term of probation, if the report based on the person's biopsychosocial assessment does not recommend any treatment or services;</w:t>
      </w:r>
    </w:p>
    <w:p>
      <w:pPr>
        <w:spacing w:before="0" w:after="0" w:line="408" w:lineRule="exact"/>
        <w:ind w:left="0" w:right="0" w:firstLine="576"/>
        <w:jc w:val="left"/>
      </w:pPr>
      <w:r>
        <w:rPr/>
        <w:t xml:space="preserve">• Requiring the applicable program to provide written status updates at least monthly, filed under seal with the court, with copies given to certain parties;</w:t>
      </w:r>
    </w:p>
    <w:p>
      <w:pPr>
        <w:spacing w:before="0" w:after="0" w:line="408" w:lineRule="exact"/>
        <w:ind w:left="0" w:right="0" w:firstLine="576"/>
        <w:jc w:val="left"/>
      </w:pPr>
      <w:r>
        <w:rPr/>
        <w:t xml:space="preserve">• Exempting the status updates and their copies from disclosure under the public records act;</w:t>
      </w:r>
    </w:p>
    <w:p>
      <w:pPr>
        <w:spacing w:before="0" w:after="0" w:line="408" w:lineRule="exact"/>
        <w:ind w:left="0" w:right="0" w:firstLine="576"/>
        <w:jc w:val="left"/>
      </w:pPr>
      <w:r>
        <w:rPr/>
        <w:t xml:space="preserve">• Requiring the court to endeavor to avoid public discussion of certain stigmatizing topics;</w:t>
      </w:r>
    </w:p>
    <w:p>
      <w:pPr>
        <w:spacing w:before="0" w:after="0" w:line="408" w:lineRule="exact"/>
        <w:ind w:left="0" w:right="0" w:firstLine="576"/>
        <w:jc w:val="left"/>
      </w:pPr>
      <w:r>
        <w:rPr/>
        <w:t xml:space="preserve">• Requiring substantial compliance with treatment or services recommended by the biopsychosocial assessment as a condition of probation for applicable persons;</w:t>
      </w:r>
    </w:p>
    <w:p>
      <w:pPr>
        <w:spacing w:before="0" w:after="0" w:line="408" w:lineRule="exact"/>
        <w:ind w:left="0" w:right="0" w:firstLine="576"/>
        <w:jc w:val="left"/>
      </w:pPr>
      <w:r>
        <w:rPr/>
        <w:t xml:space="preserve">• Providing that only the prosecuting attorney, rather than the prosecuting attorney or the court, must make a motion for a hearing to consider sanctions when it appears that an applicable person is not substantially complying with treatment or services, or, if applicable, not completing court-ordered community service;</w:t>
      </w:r>
    </w:p>
    <w:p>
      <w:pPr>
        <w:spacing w:before="0" w:after="0" w:line="408" w:lineRule="exact"/>
        <w:ind w:left="0" w:right="0" w:firstLine="576"/>
        <w:jc w:val="left"/>
      </w:pPr>
      <w:r>
        <w:rPr/>
        <w:t xml:space="preserve">• Requiring the court to consider certain factors at a hearing on a motion for sanctions;</w:t>
      </w:r>
    </w:p>
    <w:p>
      <w:pPr>
        <w:spacing w:before="0" w:after="0" w:line="408" w:lineRule="exact"/>
        <w:ind w:left="0" w:right="0" w:firstLine="576"/>
        <w:jc w:val="left"/>
      </w:pPr>
      <w:r>
        <w:rPr/>
        <w:t xml:space="preserve">• Providing an applicable person the right to present evidence at a hearing on a motion for sanctions, including the right to present a defense, present witnesses, and cross-examine any witnesses;</w:t>
      </w:r>
    </w:p>
    <w:p>
      <w:pPr>
        <w:spacing w:before="0" w:after="0" w:line="408" w:lineRule="exact"/>
        <w:ind w:left="0" w:right="0" w:firstLine="576"/>
        <w:jc w:val="left"/>
      </w:pPr>
      <w:r>
        <w:rPr/>
        <w:t xml:space="preserve">• Providing that, at a hearing on a motion for sanctions, the prosecutor must establish by clear and convincing evidence that a person's noncompliance was willful, and that the person should be sanctioned;</w:t>
      </w:r>
    </w:p>
    <w:p>
      <w:pPr>
        <w:spacing w:before="0" w:after="0" w:line="408" w:lineRule="exact"/>
        <w:ind w:left="0" w:right="0" w:firstLine="576"/>
        <w:jc w:val="left"/>
      </w:pPr>
      <w:r>
        <w:rPr/>
        <w:t xml:space="preserve">• Eliminating the mandatory minimum sanctions that the court must impose if it finds that an applicable person has willfully abandoned or demonstrated a consistent failure to meaningfully participate in treatment or services;</w:t>
      </w:r>
    </w:p>
    <w:p>
      <w:pPr>
        <w:spacing w:before="0" w:after="0" w:line="408" w:lineRule="exact"/>
        <w:ind w:left="0" w:right="0" w:firstLine="576"/>
        <w:jc w:val="left"/>
      </w:pPr>
      <w:r>
        <w:rPr/>
        <w:t xml:space="preserve">• Requiring the court to terminate probation and enter an order vacating an applicable person's conviction upon verification that the person had six months of substantial compliance with assessment and recommended treatment or services and progress toward recovery goals as reflected by a written status update from the applicable program, or, if no treatment or services were recommended by the applicable program, that the person completed the court-ordered community service; and</w:t>
      </w:r>
    </w:p>
    <w:p>
      <w:pPr>
        <w:spacing w:before="0" w:after="0" w:line="408" w:lineRule="exact"/>
        <w:ind w:left="0" w:right="0" w:firstLine="576"/>
        <w:jc w:val="left"/>
      </w:pPr>
      <w:r>
        <w:rPr/>
        <w:t xml:space="preserve">• Requiring the court to terminate probation and enter an order vacating an applicable person's conviction if the individual has not been arrested, charged, or convicted in the two years following the person's conviction.</w:t>
      </w:r>
    </w:p>
    <w:p>
      <w:pPr>
        <w:spacing w:before="0" w:after="0" w:line="408" w:lineRule="exact"/>
        <w:ind w:left="0" w:right="0" w:firstLine="576"/>
        <w:jc w:val="left"/>
      </w:pPr>
      <w:r>
        <w:rPr/>
        <w:t xml:space="preserve">(10) Provides that if a person convicted of an applicable drug offense has not been arrested, charged, or convicted in the two years following the person's conviction, the prosecuting attorney must make a motion to vacate the person's conviction or convictions, and the court must grant the motion.</w:t>
      </w:r>
    </w:p>
    <w:p>
      <w:pPr>
        <w:spacing w:before="0" w:after="0" w:line="408" w:lineRule="exact"/>
        <w:ind w:left="0" w:right="0" w:firstLine="576"/>
        <w:jc w:val="left"/>
      </w:pPr>
      <w:r>
        <w:rPr/>
        <w:t xml:space="preserve">(11) Requires the administrative office of the courts (AOC) to collect data and information, and submit an annual report, related to the following:</w:t>
      </w:r>
    </w:p>
    <w:p>
      <w:pPr>
        <w:spacing w:before="0" w:after="0" w:line="408" w:lineRule="exact"/>
        <w:ind w:left="0" w:right="0" w:firstLine="576"/>
        <w:jc w:val="left"/>
      </w:pPr>
      <w:r>
        <w:rPr/>
        <w:t xml:space="preserve">• The recidivism rate for persons who participate in pretrial diversion or agree to obtain a biopsychosocial assessment and participate in recommended treatment or services as a condition of probation for applicable drug offenses; and</w:t>
      </w:r>
    </w:p>
    <w:p>
      <w:pPr>
        <w:spacing w:before="0" w:after="0" w:line="408" w:lineRule="exact"/>
        <w:ind w:left="0" w:right="0" w:firstLine="576"/>
        <w:jc w:val="left"/>
      </w:pPr>
      <w:r>
        <w:rPr/>
        <w:t xml:space="preserve">• The utilization and outcomes of specific forms of pretrial diversion, sentencing, and postconviction relief for applicable drug offenses.</w:t>
      </w:r>
    </w:p>
    <w:p>
      <w:pPr>
        <w:spacing w:before="0" w:after="0" w:line="408" w:lineRule="exact"/>
        <w:ind w:left="0" w:right="0" w:firstLine="576"/>
        <w:jc w:val="left"/>
      </w:pPr>
      <w:r>
        <w:rPr/>
        <w:t xml:space="preserve">(12) Requires the AOC, subject to the availability of funds, to establish and maintain a statewide pretrial diversion tracking and reporting system by January 1, 2024.</w:t>
      </w:r>
    </w:p>
    <w:p>
      <w:pPr>
        <w:spacing w:before="0" w:after="0" w:line="408" w:lineRule="exact"/>
        <w:ind w:left="0" w:right="0" w:firstLine="576"/>
        <w:jc w:val="left"/>
      </w:pPr>
      <w:r>
        <w:rPr/>
        <w:t xml:space="preserve">(13) Provides that harm reduction programs include programs that offer low threshold options for accessing SUD treatment and other services, rather than other health care services.</w:t>
      </w:r>
    </w:p>
    <w:p>
      <w:pPr>
        <w:spacing w:before="0" w:after="0" w:line="408" w:lineRule="exact"/>
        <w:ind w:left="0" w:right="0" w:firstLine="576"/>
        <w:jc w:val="left"/>
      </w:pPr>
      <w:r>
        <w:rPr/>
        <w:t xml:space="preserve">(14) Requires the department of commerce, subject to the availability of funds, to fund the construction costs of SUD treatment and services programs and recovery housing, rather than just SUD treatment and services programs, in certain regions of the state.</w:t>
      </w:r>
    </w:p>
    <w:p>
      <w:pPr>
        <w:spacing w:before="0" w:after="0" w:line="408" w:lineRule="exact"/>
        <w:ind w:left="0" w:right="0" w:firstLine="576"/>
        <w:jc w:val="left"/>
      </w:pPr>
      <w:r>
        <w:rPr/>
        <w:t xml:space="preserve">(15) Eliminates the provision requiring the health care authority (HCA), subject to the availability of funds, to expand a revolving fund program to make loans or grants available for recovery residence operators to use for necessary capital expenses.</w:t>
      </w:r>
    </w:p>
    <w:p>
      <w:pPr>
        <w:spacing w:before="0" w:after="0" w:line="408" w:lineRule="exact"/>
        <w:ind w:left="0" w:right="0" w:firstLine="576"/>
        <w:jc w:val="left"/>
      </w:pPr>
      <w:r>
        <w:rPr/>
        <w:t xml:space="preserve">(16) Requires the HCA to include Black, indigenous, and people of color communities and immigrant communities in its outreach to underserved and rural areas to develop recovery housing, and in its training for housing providers.</w:t>
      </w:r>
    </w:p>
    <w:p>
      <w:pPr>
        <w:spacing w:before="0" w:after="0" w:line="408" w:lineRule="exact"/>
        <w:ind w:left="0" w:right="0" w:firstLine="576"/>
        <w:jc w:val="left"/>
      </w:pPr>
      <w:r>
        <w:rPr/>
        <w:t xml:space="preserve">(17) Eliminates the requirement for the department of health (DOH) to hold a public hearing before making a decision on an application for licensing or certifying an opioid treatment program.</w:t>
      </w:r>
    </w:p>
    <w:p>
      <w:pPr>
        <w:spacing w:before="0" w:after="0" w:line="408" w:lineRule="exact"/>
        <w:ind w:left="0" w:right="0" w:firstLine="576"/>
        <w:jc w:val="left"/>
      </w:pPr>
      <w:r>
        <w:rPr/>
        <w:t xml:space="preserve">(18) Eliminates the amendatory provisions related to the reporting obligations of behavioral health or service providers, and the authority of the prosecuting attorney to file charges, when an applicable person diverted to a provider violates the terms of the diversion.</w:t>
      </w:r>
    </w:p>
    <w:p>
      <w:pPr>
        <w:spacing w:before="0" w:after="0" w:line="408" w:lineRule="exact"/>
        <w:ind w:left="0" w:right="0" w:firstLine="576"/>
        <w:jc w:val="left"/>
      </w:pPr>
      <w:r>
        <w:rPr/>
        <w:t xml:space="preserve">(19) Eliminates the provision creating a right to court-appointed counsel for certain parenting plan or child custody proceedings.</w:t>
      </w:r>
    </w:p>
    <w:p>
      <w:pPr>
        <w:spacing w:before="0" w:after="0" w:line="408" w:lineRule="exact"/>
        <w:ind w:left="0" w:right="0" w:firstLine="576"/>
        <w:jc w:val="left"/>
      </w:pPr>
      <w:r>
        <w:rPr/>
        <w:t xml:space="preserve">(20) Modifies the provisions related to the HCA and the department of children, youth, and families' (DCYF) training for parents, including by:</w:t>
      </w:r>
    </w:p>
    <w:p>
      <w:pPr>
        <w:spacing w:before="0" w:after="0" w:line="408" w:lineRule="exact"/>
        <w:ind w:left="0" w:right="0" w:firstLine="576"/>
        <w:jc w:val="left"/>
      </w:pPr>
      <w:r>
        <w:rPr/>
        <w:t xml:space="preserve">• Codifying the provisions in chapter 71.24 RCW, rather than in chapter 43.21 RCW;</w:t>
      </w:r>
    </w:p>
    <w:p>
      <w:pPr>
        <w:spacing w:before="0" w:after="0" w:line="408" w:lineRule="exact"/>
        <w:ind w:left="0" w:right="0" w:firstLine="576"/>
        <w:jc w:val="left"/>
      </w:pPr>
      <w:r>
        <w:rPr/>
        <w:t xml:space="preserve">• Specifying that the training is for parents of transition age youth and adolescents, rather than children, with SUDs;</w:t>
      </w:r>
    </w:p>
    <w:p>
      <w:pPr>
        <w:spacing w:before="0" w:after="0" w:line="408" w:lineRule="exact"/>
        <w:ind w:left="0" w:right="0" w:firstLine="576"/>
        <w:jc w:val="left"/>
      </w:pPr>
      <w:r>
        <w:rPr/>
        <w:t xml:space="preserve">• Providing that the training must build on and be consistent and compatible with existing training developed by the HCA for families impacted by SUDs; and</w:t>
      </w:r>
    </w:p>
    <w:p>
      <w:pPr>
        <w:spacing w:before="0" w:after="0" w:line="408" w:lineRule="exact"/>
        <w:ind w:left="0" w:right="0" w:firstLine="576"/>
        <w:jc w:val="left"/>
      </w:pPr>
      <w:r>
        <w:rPr/>
        <w:t xml:space="preserve">• Including suicide prevention in the training.</w:t>
      </w:r>
    </w:p>
    <w:p>
      <w:pPr>
        <w:spacing w:before="0" w:after="0" w:line="408" w:lineRule="exact"/>
        <w:ind w:left="0" w:right="0" w:firstLine="576"/>
        <w:jc w:val="left"/>
      </w:pPr>
      <w:r>
        <w:rPr/>
        <w:t xml:space="preserve">(21) Requires the DCYF to provide opioid overdose reversal medication and training to DCYF staff whose job duties require in person service or case management for child welfare or juvenile rehabilitation clients, rather than to persons who may contact individuals experiencing overdose.</w:t>
      </w:r>
    </w:p>
    <w:p>
      <w:pPr>
        <w:spacing w:before="0" w:after="0" w:line="408" w:lineRule="exact"/>
        <w:ind w:left="0" w:right="0" w:firstLine="576"/>
        <w:jc w:val="left"/>
      </w:pPr>
      <w:r>
        <w:rPr/>
        <w:t xml:space="preserve">(22) Modifies provisions related to RNPs, including by:</w:t>
      </w:r>
    </w:p>
    <w:p>
      <w:pPr>
        <w:spacing w:before="0" w:after="0" w:line="408" w:lineRule="exact"/>
        <w:ind w:left="0" w:right="0" w:firstLine="576"/>
        <w:jc w:val="left"/>
      </w:pPr>
      <w:r>
        <w:rPr/>
        <w:t xml:space="preserve">• Stating that the goal of the RNPs is to provide law enforcement and other criminal legal system personnel with alternatives to legal system involvement for criminal activity stemming from behavioral health needs or poverty;</w:t>
      </w:r>
    </w:p>
    <w:p>
      <w:pPr>
        <w:spacing w:before="0" w:after="0" w:line="408" w:lineRule="exact"/>
        <w:ind w:left="0" w:right="0" w:firstLine="576"/>
        <w:jc w:val="left"/>
      </w:pPr>
      <w:r>
        <w:rPr/>
        <w:t xml:space="preserve">• Requiring that each RNP have a dedicated project manager and be governed by policy coordinating groups comprised of local officials, public safety agencies, and human services organizations;</w:t>
      </w:r>
    </w:p>
    <w:p>
      <w:pPr>
        <w:spacing w:before="0" w:after="0" w:line="408" w:lineRule="exact"/>
        <w:ind w:left="0" w:right="0" w:firstLine="576"/>
        <w:jc w:val="left"/>
      </w:pPr>
      <w:r>
        <w:rPr/>
        <w:t xml:space="preserve">• Defining "core principles" to be the core principles of a LEAD program, as established by the LEAD National Support Bureau as of May 1, 2023;</w:t>
      </w:r>
    </w:p>
    <w:p>
      <w:pPr>
        <w:spacing w:before="0" w:after="0" w:line="408" w:lineRule="exact"/>
        <w:ind w:left="0" w:right="0" w:firstLine="576"/>
        <w:jc w:val="left"/>
      </w:pPr>
      <w:r>
        <w:rPr/>
        <w:t xml:space="preserve">• Requiring RNPs to be organized on a scale to allow meaningful engagement, collaboration, and coordination with law enforcement and municipal agencies through the policy coordinating groups;</w:t>
      </w:r>
    </w:p>
    <w:p>
      <w:pPr>
        <w:spacing w:before="0" w:after="0" w:line="408" w:lineRule="exact"/>
        <w:ind w:left="0" w:right="0" w:firstLine="576"/>
        <w:jc w:val="left"/>
      </w:pPr>
      <w:r>
        <w:rPr/>
        <w:t xml:space="preserve">• Directing the HCA to revise its RNP standards by December 31, 2023, to achieve fidelity with the core principles and incorporate the LEAD framework for diversion at multiple points of engagement with the criminal legal system, including prearrest, prebooking, prefiling, and for ongoing case conferencing;</w:t>
      </w:r>
    </w:p>
    <w:p>
      <w:pPr>
        <w:spacing w:before="0" w:after="0" w:line="408" w:lineRule="exact"/>
        <w:ind w:left="0" w:right="0" w:firstLine="576"/>
        <w:jc w:val="left"/>
      </w:pPr>
      <w:r>
        <w:rPr/>
        <w:t xml:space="preserve">• Directing RNPs to prioritize individuals who are actually or potentially exposed to the criminal legal system;</w:t>
      </w:r>
    </w:p>
    <w:p>
      <w:pPr>
        <w:spacing w:before="0" w:after="0" w:line="408" w:lineRule="exact"/>
        <w:ind w:left="0" w:right="0" w:firstLine="576"/>
        <w:jc w:val="left"/>
      </w:pPr>
      <w:r>
        <w:rPr/>
        <w:t xml:space="preserve">• Directing the criminal justice training commission to conduct an assessment of the status of statewide implementation of the RNPs in fidelity with core principles and report to the governor and the legislature by December 1, 2023;</w:t>
      </w:r>
    </w:p>
    <w:p>
      <w:pPr>
        <w:spacing w:before="0" w:after="0" w:line="408" w:lineRule="exact"/>
        <w:ind w:left="0" w:right="0" w:firstLine="576"/>
        <w:jc w:val="left"/>
      </w:pPr>
      <w:r>
        <w:rPr/>
        <w:t xml:space="preserve">• Providing immunity from civil liability for several identified entities for their administration of an RNP;</w:t>
      </w:r>
    </w:p>
    <w:p>
      <w:pPr>
        <w:spacing w:before="0" w:after="0" w:line="408" w:lineRule="exact"/>
        <w:ind w:left="0" w:right="0" w:firstLine="576"/>
        <w:jc w:val="left"/>
      </w:pPr>
      <w:r>
        <w:rPr/>
        <w:t xml:space="preserve">• Requiring the HCA to engage and consult with the LEAD National Support Bureau on data integration approaches, platforms, quality assurance protocols, and validation practices for the HCA's development and implementation of a data integration platform to support RNPs; and</w:t>
      </w:r>
    </w:p>
    <w:p>
      <w:pPr>
        <w:spacing w:before="0" w:after="0" w:line="408" w:lineRule="exact"/>
        <w:ind w:left="0" w:right="0" w:firstLine="576"/>
        <w:jc w:val="left"/>
      </w:pPr>
      <w:r>
        <w:rPr/>
        <w:t xml:space="preserve">• Modifying the Washington state institute for public policy's contracted study on the long-term effectiveness of RNPs to also include collaboration with and supplementation from the LEAD National Support Bureau.</w:t>
      </w:r>
    </w:p>
    <w:p>
      <w:pPr>
        <w:spacing w:before="0" w:after="0" w:line="408" w:lineRule="exact"/>
        <w:ind w:left="0" w:right="0" w:firstLine="576"/>
        <w:jc w:val="left"/>
      </w:pPr>
      <w:r>
        <w:rPr/>
        <w:t xml:space="preserve">(23) Requires the HCA to implement a pilot program, rather than develop payment structures, for health engagement hubs by August 1, 2024, rather than January 1, 2025.</w:t>
      </w:r>
    </w:p>
    <w:p>
      <w:pPr>
        <w:spacing w:before="0" w:after="0" w:line="408" w:lineRule="exact"/>
        <w:ind w:left="0" w:right="0" w:firstLine="576"/>
        <w:jc w:val="left"/>
      </w:pPr>
      <w:r>
        <w:rPr/>
        <w:t xml:space="preserve">(24) Eliminates the specific appropriations made for the HCA related to funding for opioid use disorder medication, clubhouses, 23-hour crisis relief centers, certain community grants, and LEAD programs, and instead makes those provisions subject to the availability of appropriated funds.</w:t>
      </w:r>
    </w:p>
    <w:p>
      <w:pPr>
        <w:spacing w:before="0" w:after="0" w:line="408" w:lineRule="exact"/>
        <w:ind w:left="0" w:right="0" w:firstLine="576"/>
        <w:jc w:val="left"/>
      </w:pPr>
      <w:r>
        <w:rPr/>
        <w:t xml:space="preserve">(25) Modifies provisions related to remote dispensing sites, including by:</w:t>
      </w:r>
    </w:p>
    <w:p>
      <w:pPr>
        <w:spacing w:before="0" w:after="0" w:line="408" w:lineRule="exact"/>
        <w:ind w:left="0" w:right="0" w:firstLine="576"/>
        <w:jc w:val="left"/>
      </w:pPr>
      <w:r>
        <w:rPr/>
        <w:t xml:space="preserve">• Allowing remote dispensing sites to dispense medications used for the treatment of the symptoms of opioid use disorder and removing the express requirement that such medications be approved by the United States food and drug administration; and</w:t>
      </w:r>
    </w:p>
    <w:p>
      <w:pPr>
        <w:spacing w:before="0" w:after="0" w:line="408" w:lineRule="exact"/>
        <w:ind w:left="0" w:right="0" w:firstLine="576"/>
        <w:jc w:val="left"/>
      </w:pPr>
      <w:r>
        <w:rPr/>
        <w:t xml:space="preserve">• Allowing the dispensing technology to be owned by either the pharmacy or the remote dispensing site.</w:t>
      </w:r>
    </w:p>
    <w:p>
      <w:pPr>
        <w:spacing w:before="0" w:after="0" w:line="408" w:lineRule="exact"/>
        <w:ind w:left="0" w:right="0" w:firstLine="576"/>
        <w:jc w:val="left"/>
      </w:pPr>
      <w:r>
        <w:rPr/>
        <w:t xml:space="preserve">(26) Provides that the amendatory provisions related to establishing the offenses of knowing possession and use of a controlled substance, counterfeit substance, or legend drug in a public place, and modifying other specific drug possession offenses, are effective July 1, 2023.</w:t>
      </w:r>
    </w:p>
    <w:p>
      <w:pPr>
        <w:spacing w:before="0" w:after="0" w:line="408" w:lineRule="exact"/>
        <w:ind w:left="0" w:right="0" w:firstLine="576"/>
        <w:jc w:val="left"/>
      </w:pPr>
      <w:r>
        <w:rPr/>
        <w:t xml:space="preserve">(27) Adds a severability clause.</w:t>
      </w:r>
    </w:p>
    <w:p>
      <w:pPr>
        <w:spacing w:before="0" w:after="0" w:line="408" w:lineRule="exact"/>
        <w:ind w:left="0" w:right="0" w:firstLine="576"/>
        <w:jc w:val="left"/>
      </w:pPr>
      <w:r>
        <w:rPr/>
        <w:t xml:space="preserve">(28) Adds a null and void clause which provides that the act is null and void if specific funding for the purposes of the act, referencing the act by bill or chapter number, is not provided by June 30, 2023, in the omnibus appropriations act.</w:t>
      </w:r>
    </w:p>
    <w:p>
      <w:pPr>
        <w:spacing w:before="0" w:after="0" w:line="408" w:lineRule="exact"/>
        <w:ind w:left="0" w:right="0" w:firstLine="576"/>
        <w:jc w:val="left"/>
      </w:pPr>
      <w:r>
        <w:rPr/>
        <w:t xml:space="preserve">(29) Modifies language in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fc9d85dda4f38" /></Relationships>
</file>