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f2510d2444225"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APP</w:t>
        </w:r>
      </w:r>
      <w:r>
        <w:rPr>
          <w:b/>
        </w:rPr>
        <w:t xml:space="preserve"> </w:t>
        <w:r>
          <w:rPr/>
          <w:t xml:space="preserve">H3450.1</w:t>
        </w:r>
      </w:r>
      <w:r>
        <w:rPr>
          <w:b/>
        </w:rPr>
        <w:t xml:space="preserve"> - NOT FOR FLOOR USE</w:t>
      </w:r>
    </w:p>
    <w:p>
      <w:pPr>
        <w:ind w:left="0" w:right="0" w:firstLine="576"/>
      </w:pPr>
    </w:p>
    <w:p>
      <w:pPr>
        <w:spacing w:before="480" w:after="0" w:line="408" w:lineRule="exact"/>
      </w:pPr>
      <w:r>
        <w:rPr>
          <w:b/>
          <w:u w:val="single"/>
        </w:rPr>
        <w:t xml:space="preserve">E2SSB 6058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w:t>
      </w:r>
      <w:r>
        <w:t>((</w:t>
      </w:r>
      <w:r>
        <w:rPr>
          <w:strike/>
        </w:rPr>
        <w:t xml:space="preserve">fuels derived from biomass that have at least 40 percent lower greenhouse gas emissions based on a full life-cycle analysis when compared to petroleum fuels for which biofuels are capable as serving as a substitute</w:t>
      </w:r>
      <w:r>
        <w:t>))</w:t>
      </w:r>
      <w:r>
        <w:rPr/>
        <w:t xml:space="preserve"> </w:t>
      </w:r>
      <w:r>
        <w:rPr>
          <w:u w:val="single"/>
        </w:rPr>
        <w:t xml:space="preserve">whichever of the following fuels derived from biomass has lower associated life-cycle greenhouse gas emissions: (a) Fuels that have at least 30 percent lower greenhouse gas emissions based on a full life-cycle analysis when compared to petroleum fuels for which biofuels are capable as serving as a substitute; or (b) fuels that meet a standard adopted by the department by rule that align with the definition of biofuel, or other standards applicable to biofuel, established by a jurisdiction with which the department has entered into a linkage agreement</w:t>
      </w:r>
      <w:r>
        <w:rPr/>
        <w:t xml:space="preserv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"Electricity wheeled through the state" means electricity that is generated outside the state of Washington and delivered into Washington with the final point of delivery outside Washington including, but not limited to, electricity wheeled through the state on a single NERC e-tag, or wheeled into and out of Washington at a common point or trading hub on the power system on separate e-tags within the same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u w:val="single"/>
        </w:rPr>
        <w:t xml:space="preserve">; or</w:t>
      </w:r>
    </w:p>
    <w:p>
      <w:pPr>
        <w:spacing w:before="0" w:after="0" w:line="408" w:lineRule="exact"/>
        <w:ind w:left="0" w:right="0" w:firstLine="576"/>
        <w:jc w:val="left"/>
      </w:pPr>
      <w:r>
        <w:rPr>
          <w:u w:val="single"/>
        </w:rPr>
        <w:t xml:space="preserve">(C) For electricity purchased from a federal power marketing administration pursuant to section 5(b) of the Pacific Northwest electric power planning and conservation act of 1980, P.L. 96-501, if the department determines such electricity is not from a specified source, the cumulative annual total of emissions associated with the imported electricity exceeds 25,000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w:t>
      </w:r>
      <w:r>
        <w:rPr>
          <w:u w:val="single"/>
        </w:rPr>
        <w:t xml:space="preserve">Take into consideration forest practices rules where a project is located, or applicable best management practices established by federal, state, or local governments that relate to forest management;</w:t>
      </w:r>
    </w:p>
    <w:p>
      <w:pPr>
        <w:spacing w:before="0" w:after="0" w:line="408" w:lineRule="exact"/>
        <w:ind w:left="0" w:right="0" w:firstLine="576"/>
        <w:jc w:val="left"/>
      </w:pPr>
      <w:r>
        <w:rPr>
          <w:u w:val="single"/>
        </w:rPr>
        <w:t xml:space="preserve">(c)</w:t>
      </w:r>
      <w:r>
        <w:rPr/>
        <w:t xml:space="preserve">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210</w:t>
      </w:r>
      <w:r>
        <w:rPr/>
        <w:t xml:space="preserve"> and 2021 c 316 s 24 are each amended to read as follows:</w:t>
      </w:r>
    </w:p>
    <w:p>
      <w:pPr>
        <w:spacing w:before="0" w:after="0" w:line="408" w:lineRule="exact"/>
        <w:ind w:left="0" w:right="0" w:firstLine="576"/>
        <w:jc w:val="left"/>
      </w:pP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w:t>
      </w:r>
      <w:r>
        <w:rPr>
          <w:u w:val="single"/>
        </w:rPr>
        <w:t xml:space="preserve">Before entering a linkage agreement, the department must post and maintain on its website, and provide notification to the appropriate policy and fiscal committees of the legislature, a quarterly status update regarding any potential linkage agreement that the department has determined to seek to enter into under this section. The status report must include:</w:t>
      </w:r>
    </w:p>
    <w:p>
      <w:pPr>
        <w:spacing w:before="0" w:after="0" w:line="408" w:lineRule="exact"/>
        <w:ind w:left="0" w:right="0" w:firstLine="576"/>
        <w:jc w:val="left"/>
      </w:pPr>
      <w:r>
        <w:rPr>
          <w:u w:val="single"/>
        </w:rPr>
        <w:t xml:space="preserve">(a) An outline of the expected steps that the department expects that it and linked jurisdictions will need to take prior to entering into a linkage agreement, including the requirements of subsection (3) of this section;</w:t>
      </w:r>
    </w:p>
    <w:p>
      <w:pPr>
        <w:spacing w:before="0" w:after="0" w:line="408" w:lineRule="exact"/>
        <w:ind w:left="0" w:right="0" w:firstLine="576"/>
        <w:jc w:val="left"/>
      </w:pPr>
      <w:r>
        <w:rPr>
          <w:u w:val="single"/>
        </w:rPr>
        <w:t xml:space="preserve">(b) Notation of any steps completed or initiated under (a) of this subsection; and</w:t>
      </w:r>
    </w:p>
    <w:p>
      <w:pPr>
        <w:spacing w:before="0" w:after="0" w:line="408" w:lineRule="exact"/>
        <w:ind w:left="0" w:right="0" w:firstLine="576"/>
        <w:jc w:val="left"/>
      </w:pPr>
      <w:r>
        <w:rPr>
          <w:u w:val="single"/>
        </w:rPr>
        <w:t xml:space="preserve">(c) An estimate of the time frames of possible completion for any steps identified under (a) of this subsection that have not yet been completed.</w:t>
      </w:r>
    </w:p>
    <w:p>
      <w:pPr>
        <w:spacing w:before="0" w:after="0" w:line="408" w:lineRule="exact"/>
        <w:ind w:left="0" w:right="0" w:firstLine="576"/>
        <w:jc w:val="left"/>
      </w:pPr>
      <w:r>
        <w:rPr>
          <w:u w:val="single"/>
        </w:rPr>
        <w:t xml:space="preserve">(5)</w:t>
      </w:r>
      <w:r>
        <w:rPr/>
        <w:t xml:space="preserve"> The state retains all legal and policymaking authority over its program design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t>((</w:t>
      </w:r>
      <w:r>
        <w:rPr>
          <w:strike/>
        </w:rPr>
        <w:t xml:space="preserve">and</w:t>
      </w:r>
      <w:r>
        <w:t>))</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r>
        <w:rPr>
          <w:u w:val="single"/>
        </w:rPr>
        <w:t xml:space="preserve">; and</w:t>
      </w:r>
    </w:p>
    <w:p>
      <w:pPr>
        <w:spacing w:before="0" w:after="0" w:line="408" w:lineRule="exact"/>
        <w:ind w:left="0" w:right="0" w:firstLine="576"/>
        <w:jc w:val="left"/>
      </w:pPr>
      <w:r>
        <w:rPr>
          <w:u w:val="single"/>
        </w:rPr>
        <w:t xml:space="preserve">(iii) To the extent practicable, the department's rules must seek to minimize reporting burdens through the utilization of existing reports and disclosures for electric power entities who report greenhouse gas emissions that equal 10,000 metric tons of carbon dioxide equivalent or less annually from all electricity that is purchased, sold, imported, exported, or exchanged in Washington</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electricity wheeled through Washington on a single NERC e-tag, or wheeled into and out of Washington at a common point or trading hub on the power system on separate e-tags within the same hour is exempt from climate commitment act compliance obligations.</w:t>
      </w:r>
    </w:p>
    <w:p>
      <w:pPr>
        <w:spacing w:before="0" w:after="0" w:line="408" w:lineRule="exact"/>
        <w:ind w:left="0" w:right="0" w:firstLine="576"/>
        <w:jc w:val="left"/>
      </w:pPr>
      <w:r>
        <w:rPr/>
        <w:t xml:space="preserve">(2) Requires the department of ecology to post and maintain on its website, and to notify the appropriate committees of the legislature, with a status update on the process towards completion of a potential linkage agreement.</w:t>
      </w:r>
    </w:p>
    <w:p>
      <w:pPr>
        <w:spacing w:before="0" w:after="0" w:line="408" w:lineRule="exact"/>
        <w:ind w:left="0" w:right="0" w:firstLine="576"/>
        <w:jc w:val="left"/>
      </w:pPr>
      <w:r>
        <w:rPr/>
        <w:t xml:space="preserve">(3) Lowers the carbon intensity requirements for biofuels in order to be exempt from cap and invest compliance obligations from 40 percent to 30 percent lower than comparable petroleum fuels, or to standards adopted by the department of ecology by rule that are consistent with the standards or definitions for biofuel of a linked jurisdiction, if such a standard or definitions requires lower life-cycle greenhouse gas emissions than Washington's standard of 30 percent lower than comparable petroleum fuels.</w:t>
      </w:r>
    </w:p>
    <w:p>
      <w:pPr>
        <w:spacing w:before="0" w:after="0" w:line="408" w:lineRule="exact"/>
        <w:ind w:left="0" w:right="0" w:firstLine="576"/>
        <w:jc w:val="left"/>
      </w:pPr>
      <w:r>
        <w:rPr/>
        <w:t xml:space="preserve">(4) Requires the department of ecology to consider forest practices rules where an offset project is located, or applicable best management practices that relate to forest management, in the development of offset credit project and offset credit use protocols.</w:t>
      </w:r>
    </w:p>
    <w:p>
      <w:pPr>
        <w:spacing w:before="0" w:after="0" w:line="408" w:lineRule="exact"/>
        <w:ind w:left="0" w:right="0" w:firstLine="576"/>
        <w:jc w:val="left"/>
      </w:pPr>
      <w:r>
        <w:rPr/>
        <w:t xml:space="preserve">(5) Requires the department of ecology's greenhouse gas emission reporting rules to seek to minimize the reporting burdens through use of existing reports and disclosures for electric utilities whose greenhouse gas emissions from electricity are 10,000 metric tons or less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b5e06e01fb498a" /></Relationships>
</file>