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394be7e9a40d4"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DYEM</w:t>
        </w:r>
      </w:r>
      <w:r>
        <w:rPr>
          <w:b/>
        </w:rPr>
        <w:t xml:space="preserve"> </w:t>
        <w:r>
          <w:rPr/>
          <w:t xml:space="preserve">H3465.2</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1133</w:t>
      </w:r>
    </w:p>
    <w:p>
      <w:pPr>
        <w:spacing w:before="0" w:after="0" w:line="408" w:lineRule="exact"/>
        <w:ind w:left="0" w:right="0" w:firstLine="576"/>
        <w:jc w:val="left"/>
      </w:pPr>
      <w:r>
        <w:rPr/>
        <w:t xml:space="preserve">By Representative Dye</w:t>
      </w:r>
    </w:p>
    <w:p>
      <w:pPr>
        <w:jc w:val="right"/>
      </w:pPr>
      <w:r>
        <w:rPr>
          <w:b/>
        </w:rPr>
        <w:t xml:space="preserve">NOT ADOPTED 02/29/2024</w:t>
      </w:r>
    </w:p>
    <w:p>
      <w:pPr>
        <w:spacing w:before="0" w:after="0" w:line="408" w:lineRule="exact"/>
        <w:ind w:left="0" w:right="0" w:firstLine="576"/>
        <w:jc w:val="left"/>
      </w:pPr>
      <w:r>
        <w:rPr/>
        <w:t xml:space="preserve">On page 30, after line 17, insert the following: </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2022 c 181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price ceiling to provide cost protection for covered entities obligated to comply with this chapter. </w:t>
      </w:r>
      <w:r>
        <w:t>((</w:t>
      </w:r>
      <w:r>
        <w:rPr>
          <w:strike/>
        </w:rPr>
        <w:t xml:space="preserve">The</w:t>
      </w:r>
      <w:r>
        <w:t>))</w:t>
      </w:r>
      <w:r>
        <w:rPr/>
        <w:t xml:space="preserve"> </w:t>
      </w:r>
      <w:r>
        <w:rPr>
          <w:u w:val="single"/>
        </w:rPr>
        <w:t xml:space="preserve">Except as provided in (b) of this subsection, the</w:t>
      </w:r>
      <w:r>
        <w:rPr/>
        <w:t xml:space="preserv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reserve auction floor price established in RCW 70A.65.150(1).</w:t>
      </w:r>
    </w:p>
    <w:p>
      <w:pPr>
        <w:spacing w:before="0" w:after="0" w:line="408" w:lineRule="exact"/>
        <w:ind w:left="0" w:right="0" w:firstLine="576"/>
        <w:jc w:val="left"/>
      </w:pPr>
      <w:r>
        <w:rPr>
          <w:u w:val="single"/>
        </w:rPr>
        <w:t xml:space="preserve">(b) If the department enters into a linkage agreement under this chapter, effective as of the day that the linkage agreement takes effect, the department must set the price ceiling at an amount no more than the highest auction settlement price that occurred at any single auction during calendar year 2023.</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covered entities as established under subsection (1) of this section. Purchases must be limited to entities that do not have sufficient eligible compliance instruments in their holding and compliance accounts for the current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The price ceiling unit emission reduction investment account is created in the state treasury. All receipts from the sale of price ceiling units must be deposited in the account. Moneys in the account may only be spent after appropriation. Moneys in the account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that if Washington enters into a linkage agreement the price ceiling must, as of the effective date of the linkage agreement, be no more than the highest single auction settlement price that occurred during calendar year 2023 of cap-and-invest program implementation.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ef030308346aa" /></Relationships>
</file>