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48cca1e87431d" /></Relationships>
</file>

<file path=word/document.xml><?xml version="1.0" encoding="utf-8"?>
<w:document xmlns:w="http://schemas.openxmlformats.org/wordprocessingml/2006/main">
  <w:body>
    <w:p>
      <w:r>
        <w:rPr>
          <w:b/>
        </w:rPr>
        <w:r>
          <w:rPr/>
          <w:t xml:space="preserve">6069-S.E</w:t>
        </w:r>
      </w:r>
      <w:r>
        <w:rPr>
          <w:b/>
        </w:rPr>
        <w:t xml:space="preserve"> </w:t>
        <w:t xml:space="preserve">AMH</w:t>
      </w:r>
      <w:r>
        <w:rPr>
          <w:b/>
        </w:rPr>
        <w:t xml:space="preserve"> </w:t>
        <w:r>
          <w:rPr/>
          <w:t xml:space="preserve">APP</w:t>
        </w:r>
      </w:r>
      <w:r>
        <w:rPr>
          <w:b/>
        </w:rPr>
        <w:t xml:space="preserve"> </w:t>
        <w:r>
          <w:rPr/>
          <w:t xml:space="preserve">H3435.1</w:t>
        </w:r>
      </w:r>
      <w:r>
        <w:rPr>
          <w:b/>
        </w:rPr>
        <w:t xml:space="preserve"> - NOT FOR FLOOR USE</w:t>
      </w:r>
    </w:p>
    <w:p>
      <w:pPr>
        <w:ind w:left="0" w:right="0" w:firstLine="576"/>
      </w:pPr>
      <w:r>
        <w:rPr/>
        <w:t xml:space="preserve"> </w:t>
      </w:r>
    </w:p>
    <w:p>
      <w:pPr>
        <w:spacing w:before="480" w:after="0" w:line="408" w:lineRule="exact"/>
      </w:pPr>
      <w:r>
        <w:rPr>
          <w:b/>
          <w:u w:val="single"/>
        </w:rPr>
        <w:t xml:space="preserve">ESSB 6069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12 of this act.</w:t>
      </w:r>
    </w:p>
    <w:p>
      <w:pPr>
        <w:spacing w:before="0" w:after="0" w:line="408" w:lineRule="exact"/>
        <w:ind w:left="0" w:right="0" w:firstLine="576"/>
        <w:jc w:val="left"/>
      </w:pPr>
      <w:r>
        <w:rPr/>
        <w:t xml:space="preserve">(2)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(3)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(4) "Covered employee" means an individual who is 18 years of age or older, who is employed by a covered employer.</w:t>
      </w:r>
    </w:p>
    <w:p>
      <w:pPr>
        <w:spacing w:before="0" w:after="0" w:line="408" w:lineRule="exact"/>
        <w:ind w:left="0" w:right="0" w:firstLine="576"/>
        <w:jc w:val="left"/>
      </w:pPr>
      <w:r>
        <w:rPr/>
        <w:t xml:space="preserve">(5)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(8)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(9) "Employment" has the same meaning as in RCW 50.04.100.</w:t>
      </w:r>
    </w:p>
    <w:p>
      <w:pPr>
        <w:spacing w:before="0" w:after="0" w:line="408" w:lineRule="exact"/>
        <w:ind w:left="0" w:right="0" w:firstLine="576"/>
        <w:jc w:val="left"/>
      </w:pPr>
      <w:r>
        <w:rPr/>
        <w:t xml:space="preserve">(10) "Governing board" means the board created in section 4 of this act.</w:t>
      </w:r>
    </w:p>
    <w:p>
      <w:pPr>
        <w:spacing w:before="0" w:after="0" w:line="408" w:lineRule="exact"/>
        <w:ind w:left="0" w:right="0" w:firstLine="576"/>
        <w:jc w:val="left"/>
      </w:pPr>
      <w:r>
        <w:rPr/>
        <w:t xml:space="preserve">(11)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(12) "Individual participant" means any individual who is contributing to, or has a balance credited in, an IRA through the program.</w:t>
      </w:r>
    </w:p>
    <w:p>
      <w:pPr>
        <w:spacing w:before="0" w:after="0" w:line="408" w:lineRule="exact"/>
        <w:ind w:left="0" w:right="0" w:firstLine="576"/>
        <w:jc w:val="left"/>
      </w:pPr>
      <w:r>
        <w:rPr/>
        <w:t xml:space="preserve">(13) "Internal revenue code" means the federal internal revenue code of 1986, as amended, or any successor law.</w:t>
      </w:r>
    </w:p>
    <w:p>
      <w:pPr>
        <w:spacing w:before="0" w:after="0" w:line="408" w:lineRule="exact"/>
        <w:ind w:left="0" w:right="0" w:firstLine="576"/>
        <w:jc w:val="left"/>
      </w:pPr>
      <w:r>
        <w:rPr/>
        <w:t xml:space="preserve">(14)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(15) "Office" means the office of the state treasurer.</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(ii)(A) Assist the program by offering all covered employees the choice to either participate by voluntarily contributing to an IRA or opt out; or</w:t>
      </w:r>
    </w:p>
    <w:p>
      <w:pPr>
        <w:spacing w:before="0" w:after="0" w:line="408" w:lineRule="exact"/>
        <w:ind w:left="0" w:right="0" w:firstLine="576"/>
        <w:jc w:val="left"/>
      </w:pPr>
      <w:r>
        <w:rPr/>
        <w:t xml:space="preserve">(B) Automatically enroll covered employees in a qualified retirement plan offered by a trade association or chamber of commerce and permit covered employees to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Distribute program information and disclosures to covered employees, as provided in section 4(12) of this act.</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nine members as follows:</w:t>
      </w:r>
    </w:p>
    <w:p>
      <w:pPr>
        <w:spacing w:before="0" w:after="0" w:line="408" w:lineRule="exact"/>
        <w:ind w:left="0" w:right="0" w:firstLine="576"/>
        <w:jc w:val="left"/>
      </w:pPr>
      <w:r>
        <w:rPr/>
        <w:t xml:space="preserve">(a) The state treasurer;</w:t>
      </w:r>
    </w:p>
    <w:p>
      <w:pPr>
        <w:spacing w:before="0" w:after="0" w:line="408" w:lineRule="exact"/>
        <w:ind w:left="0" w:right="0" w:firstLine="576"/>
        <w:jc w:val="left"/>
      </w:pPr>
      <w:r>
        <w:rPr/>
        <w:t xml:space="preserve">(b) The director of the department or the director's designee; and</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Three members with demonstrated financial, legal, or other relevant program experience;</w:t>
      </w:r>
    </w:p>
    <w:p>
      <w:pPr>
        <w:spacing w:before="0" w:after="0" w:line="408" w:lineRule="exact"/>
        <w:ind w:left="0" w:right="0" w:firstLine="576"/>
        <w:jc w:val="left"/>
      </w:pPr>
      <w:r>
        <w:rPr/>
        <w:t xml:space="preserve">(ii) One member representing the financial industry;</w:t>
      </w:r>
    </w:p>
    <w:p>
      <w:pPr>
        <w:spacing w:before="0" w:after="0" w:line="408" w:lineRule="exact"/>
        <w:ind w:left="0" w:right="0" w:firstLine="576"/>
        <w:jc w:val="left"/>
      </w:pPr>
      <w:r>
        <w:rPr/>
        <w:t xml:space="preserve">(iii) One member representing a retirement advocacy organization;</w:t>
      </w:r>
    </w:p>
    <w:p>
      <w:pPr>
        <w:spacing w:before="0" w:after="0" w:line="408" w:lineRule="exact"/>
        <w:ind w:left="0" w:right="0" w:firstLine="576"/>
        <w:jc w:val="left"/>
      </w:pPr>
      <w:r>
        <w:rPr/>
        <w:t xml:space="preserve">(iv) One member representing covered employees; and</w:t>
      </w:r>
    </w:p>
    <w:p>
      <w:pPr>
        <w:spacing w:before="0" w:after="0" w:line="408" w:lineRule="exact"/>
        <w:ind w:left="0" w:right="0" w:firstLine="576"/>
        <w:jc w:val="left"/>
      </w:pPr>
      <w:r>
        <w:rPr/>
        <w:t xml:space="preserve">(v) One member representing covered employers.</w:t>
      </w:r>
    </w:p>
    <w:p>
      <w:pPr>
        <w:spacing w:before="0" w:after="0" w:line="408" w:lineRule="exact"/>
        <w:ind w:left="0" w:right="0" w:firstLine="576"/>
        <w:jc w:val="left"/>
      </w:pPr>
      <w:r>
        <w:rPr/>
        <w:t xml:space="preserve">(3) The state treasurer shall chair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Beginning in 2025, the governing board shall meet at least four times annually and periodically as specified by the chair or a majority of the governing board.</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governing board member has one vote. The powers of the governing board must be exercised by a majority of all members present at the meeting of the governing board, whether in person or remotely. Four members constitute the necessary quorum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(10)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 and that any employer that is not a covered employer shall have no reporting or registration obligation or requirement to take any action under the program other than to claim an exemption from coverage by the program;</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Maximize portability of individual accounts;</w:t>
      </w:r>
    </w:p>
    <w:p>
      <w:pPr>
        <w:spacing w:before="0" w:after="0" w:line="408" w:lineRule="exact"/>
        <w:ind w:left="0" w:right="0" w:firstLine="576"/>
        <w:jc w:val="left"/>
      </w:pPr>
      <w:r>
        <w:rPr/>
        <w:t xml:space="preserve">(vi) Maximize financial security in retirement; and</w:t>
      </w:r>
    </w:p>
    <w:p>
      <w:pPr>
        <w:spacing w:before="0" w:after="0" w:line="408" w:lineRule="exact"/>
        <w:ind w:left="0" w:right="0" w:firstLine="576"/>
        <w:jc w:val="left"/>
      </w:pPr>
      <w:r>
        <w:rPr/>
        <w:t xml:space="preserve">(vii)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office, the department, the office of minority and women's business enterprises, and the office of the secretary of state to create a strategy to educate and inform covered employers about employer administrative duties under this chapter, including the development of culturally relevant and responsive approaches centered in cultural humility with outreach to employers that are considered socially vulnerable, historically marginalized, or face cultural or language barriers to participate in workplace retirement savings programs;</w:t>
      </w:r>
    </w:p>
    <w:p>
      <w:pPr>
        <w:spacing w:before="0" w:after="0" w:line="408" w:lineRule="exact"/>
        <w:ind w:left="0" w:right="0" w:firstLine="576"/>
        <w:jc w:val="left"/>
      </w:pPr>
      <w:r>
        <w:rPr/>
        <w:t xml:space="preserve">(e) Launch the program by January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(11)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promote cultural humility and engage culturally relevant and responsive approaches while including special consideration for socially vulnerable communities historically,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(12) The governing board shall develop:</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 and</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including instructions on how to access funds, and other distributions from the covered employee's IRA.</w:t>
      </w:r>
    </w:p>
    <w:p>
      <w:pPr>
        <w:spacing w:before="0" w:after="0" w:line="408" w:lineRule="exact"/>
        <w:ind w:left="0" w:right="0" w:firstLine="576"/>
        <w:jc w:val="left"/>
      </w:pPr>
      <w:r>
        <w:rPr/>
        <w:t xml:space="preserve">(13) The governing board must evaluate options to assist covered employees and employers to identify private sector providers of financial advice, to the extent feasible and unless prohibited by state or federal laws. The governing board must consider options including, but not limited to, a website established and maintained by the governing board. </w:t>
      </w:r>
    </w:p>
    <w:p>
      <w:pPr>
        <w:spacing w:before="0" w:after="0" w:line="408" w:lineRule="exact"/>
        <w:ind w:left="0" w:right="0" w:firstLine="576"/>
        <w:jc w:val="left"/>
      </w:pPr>
      <w:r>
        <w:rPr/>
        <w:t xml:space="preserve">(14)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(15) The governing board must collect administrative fees to defray the costs of administering the program. If the governing board creates or enters into a joint program agreement, as provided in subsection (14)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(16) Members of the governing board and the office are not an insurer of the funds or assets of the investment fund or individual accounts. Neither of these two entities are liable for the action or inaction of the other.</w:t>
      </w:r>
    </w:p>
    <w:p>
      <w:pPr>
        <w:spacing w:before="0" w:after="0" w:line="408" w:lineRule="exact"/>
        <w:ind w:left="0" w:right="0" w:firstLine="576"/>
        <w:jc w:val="left"/>
      </w:pPr>
      <w:r>
        <w:rPr/>
        <w:t xml:space="preserve">(17) Members of the governing board and the office are not liable to the state, to the fund, or to any other person as a result of their activities as members, whether ministerial or discretionary, except for willful dishonesty or intentional violation of law. Members of the governing board and the office may purchase liability insurance.</w:t>
      </w:r>
    </w:p>
    <w:p>
      <w:pPr>
        <w:spacing w:before="0" w:after="0" w:line="408" w:lineRule="exact"/>
        <w:ind w:left="0" w:right="0" w:firstLine="576"/>
        <w:jc w:val="left"/>
      </w:pPr>
      <w:r>
        <w:rPr/>
        <w:t xml:space="preserve">(18) The governing board shall submit an annual report to the appropriate committees of the legislature, in accordance with RCW 43.01.036, providing information about the program including, but not limited to, the following:</w:t>
      </w:r>
    </w:p>
    <w:p>
      <w:pPr>
        <w:spacing w:before="0" w:after="0" w:line="408" w:lineRule="exact"/>
        <w:ind w:left="0" w:right="0" w:firstLine="576"/>
        <w:jc w:val="left"/>
      </w:pPr>
      <w:r>
        <w:rPr/>
        <w:t xml:space="preserve">(a) Participation;</w:t>
      </w:r>
    </w:p>
    <w:p>
      <w:pPr>
        <w:spacing w:before="0" w:after="0" w:line="408" w:lineRule="exact"/>
        <w:ind w:left="0" w:right="0" w:firstLine="576"/>
        <w:jc w:val="left"/>
      </w:pPr>
      <w:r>
        <w:rPr/>
        <w:t xml:space="preserve">(b) Account performance;</w:t>
      </w:r>
    </w:p>
    <w:p>
      <w:pPr>
        <w:spacing w:before="0" w:after="0" w:line="408" w:lineRule="exact"/>
        <w:ind w:left="0" w:right="0" w:firstLine="576"/>
        <w:jc w:val="left"/>
      </w:pPr>
      <w:r>
        <w:rPr/>
        <w:t xml:space="preserve">(c) Board decisions; and</w:t>
      </w:r>
    </w:p>
    <w:p>
      <w:pPr>
        <w:spacing w:before="0" w:after="0" w:line="408" w:lineRule="exact"/>
        <w:ind w:left="0" w:right="0" w:firstLine="576"/>
        <w:jc w:val="left"/>
      </w:pPr>
      <w:r>
        <w:rPr/>
        <w:t xml:space="preserve">(d) Any recommendations to the legislature regarding the program.</w:t>
      </w:r>
    </w:p>
    <w:p>
      <w:pPr>
        <w:spacing w:before="0" w:after="0" w:line="408" w:lineRule="exact"/>
        <w:ind w:left="0" w:right="0" w:firstLine="576"/>
        <w:jc w:val="left"/>
      </w:pPr>
      <w:r>
        <w:rPr/>
        <w:t xml:space="preserve">(19) The governing board may consult with the state investment board and the department of financial institutions regarding program design and implementation.</w:t>
      </w:r>
    </w:p>
    <w:p>
      <w:pPr>
        <w:spacing w:before="0" w:after="0" w:line="408" w:lineRule="exact"/>
        <w:ind w:left="0" w:right="0" w:firstLine="576"/>
        <w:jc w:val="left"/>
      </w:pPr>
      <w:r>
        <w:rPr/>
        <w:t xml:space="preserve">(20) The governing board shall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THE STATE TREASURER</w:t>
      </w:r>
      <w:r>
        <w:rPr>
          <w:rFonts w:ascii="Times New Roman" w:hAnsi="Times New Roman"/>
        </w:rPr>
        <w:t xml:space="preserve">—</w:t>
      </w:r>
      <w:r>
        <w:rPr/>
        <w:t xml:space="preserve">RESPONSIBILITIES.</w:t>
      </w:r>
      <w:r>
        <w:t xml:space="preserve">  </w:t>
      </w:r>
      <w:r>
        <w:rPr/>
        <w:t xml:space="preserve">(1) Subject to the availability of amounts appropriated for this specific purpose, the office must provide staff and administrative support for the governing board. The office must consult with the governing board regarding staffing and administrative support needs before selecting any staff pursuant to this section.</w:t>
      </w:r>
    </w:p>
    <w:p>
      <w:pPr>
        <w:spacing w:before="0" w:after="0" w:line="408" w:lineRule="exact"/>
        <w:ind w:left="0" w:right="0" w:firstLine="576"/>
        <w:jc w:val="left"/>
      </w:pPr>
      <w:r>
        <w:rPr/>
        <w:t xml:space="preserve">(2) The office may initiate and manage all procurement and regulatory processes related to the program and carry out other related functions as delegated by the governing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office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office or the governing board by a governmental agency is held private and confidential by state or federal law, the office and the governing board may not release such information, unless otherwise provided in this section.</w:t>
      </w:r>
    </w:p>
    <w:p>
      <w:pPr>
        <w:spacing w:before="0" w:after="0" w:line="408" w:lineRule="exact"/>
        <w:ind w:left="0" w:right="0" w:firstLine="576"/>
        <w:jc w:val="left"/>
      </w:pPr>
      <w:r>
        <w:rPr/>
        <w:t xml:space="preserve">(b) Information provided to the office or the governing board by a governmental entity conditioned upon privacy and confidentiality under a provision of law is to be held private and confidential according to the agreement between the office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office or the governing board under this section must request such disclosure from the governmental agency that provided the information to the office or the governing board, rather than from the office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office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office or the governing board may disclose information and records deemed confidential under this chapter to a third party acting on behalf of an individual or employer that would otherwise be eligible to receive records under this section when the office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office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office and the governing board.</w:t>
      </w:r>
    </w:p>
    <w:p>
      <w:pPr>
        <w:spacing w:before="0" w:after="0" w:line="408" w:lineRule="exact"/>
        <w:ind w:left="0" w:right="0" w:firstLine="576"/>
        <w:jc w:val="left"/>
      </w:pPr>
      <w:r>
        <w:rPr/>
        <w:t xml:space="preserve">(6)(a) A decision under this chapter by the office,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office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office immediately and must take all reasonable available actions to rectify the disclosure to the office's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up to $20,000 in the first year of the program. Beginning the December of the second year of the program and each December thereafter, the office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office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12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state treasurer or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17 of this act takes effect July 1, 2024.</w:t>
      </w:r>
    </w:p>
    <w:p>
      <w:pPr>
        <w:spacing w:before="0" w:after="0" w:line="408" w:lineRule="exact"/>
        <w:ind w:left="0" w:right="0" w:firstLine="576"/>
        <w:jc w:val="left"/>
      </w:pPr>
      <w:r>
        <w:rPr/>
        <w:t xml:space="preserve">(2) Section 18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Clarifies that the governing board is the entity responsible for developing program information and disclosures, and that covered employers are only responsible for distributing program information and disclosures to employees.</w:t>
      </w:r>
    </w:p>
    <w:p>
      <w:pPr>
        <w:spacing w:before="0" w:after="0" w:line="408" w:lineRule="exact"/>
        <w:ind w:left="0" w:right="0" w:firstLine="576"/>
        <w:jc w:val="left"/>
      </w:pPr>
      <w:r>
        <w:rPr/>
        <w:t xml:space="preserve">• Specifies that the governing board must design the Washington Saves program so that in addition to other elements, an employer that is not considered a covered employer has no reporting or registration obligation or requirement to take any action under the program other than to claim an exemption from coverage.</w:t>
      </w:r>
    </w:p>
    <w:p>
      <w:pPr>
        <w:spacing w:before="0" w:after="0" w:line="408" w:lineRule="exact"/>
        <w:ind w:left="0" w:right="0" w:firstLine="576"/>
        <w:jc w:val="left"/>
      </w:pPr>
      <w:r>
        <w:rPr/>
        <w:t xml:space="preserve">• Permits covered employers to automatically enroll covered employees, unless the employee opts out, in a qualified retirement plan offered by a trade association or chamber of commerce in lieu of the individual retirement account established by the Washington Saves program.</w:t>
      </w:r>
    </w:p>
    <w:p>
      <w:pPr>
        <w:spacing w:before="0" w:after="0" w:line="408" w:lineRule="exact"/>
        <w:ind w:left="0" w:right="0" w:firstLine="576"/>
        <w:jc w:val="left"/>
      </w:pPr>
      <w:r>
        <w:rPr/>
        <w:t xml:space="preserve">• Requires the governing board to evaluate options to assist covered employees and covered employers to identify private sector financial advisors, to the extent feasible and permitted by law, including a website established and maintained by the governing board.</w:t>
      </w:r>
    </w:p>
    <w:p>
      <w:pPr>
        <w:spacing w:before="0" w:after="0" w:line="408" w:lineRule="exact"/>
        <w:ind w:left="0" w:right="0" w:firstLine="576"/>
        <w:jc w:val="left"/>
      </w:pPr>
      <w:r>
        <w:rPr/>
        <w:t xml:space="preserve">• Clarifies that information, forms, and instructions furnished to employees include instructions on how to access funds.</w:t>
      </w:r>
    </w:p>
    <w:p>
      <w:pPr>
        <w:spacing w:before="0" w:after="0" w:line="408" w:lineRule="exact"/>
        <w:ind w:left="0" w:right="0" w:firstLine="576"/>
        <w:jc w:val="left"/>
      </w:pPr>
      <w:r>
        <w:rPr/>
        <w:t xml:space="preserve">• Specifies that the governing board must begin meeting four times annually beginning in 2025.</w:t>
      </w:r>
    </w:p>
    <w:p>
      <w:pPr>
        <w:spacing w:before="0" w:after="0" w:line="408" w:lineRule="exact"/>
        <w:ind w:left="0" w:right="0" w:firstLine="576"/>
        <w:jc w:val="left"/>
      </w:pPr>
      <w:r>
        <w:rPr/>
        <w:t xml:space="preserve">• Specifies that the program be designed and operated to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 Requires the governing board to include culturally relevant and responsive approaches centered in cultural humility with outreach to employers that are considered socially vulnerable, historically marginalized, or face cultural or language barriers to participate in workplace retirement savings programs when developing a strategy to educate and inform covered employers about their administrative duties under the program.</w:t>
      </w:r>
    </w:p>
    <w:p>
      <w:pPr>
        <w:spacing w:before="0" w:after="0" w:line="408" w:lineRule="exact"/>
        <w:ind w:left="0" w:right="0" w:firstLine="576"/>
        <w:jc w:val="left"/>
      </w:pPr>
      <w:r>
        <w:rPr/>
        <w:t xml:space="preserve">• Specifies that outreach, marketing, and educational initiatives regarding the Washington Saves program must promote cultural humility and engage culturally relevant and responsive approaches while including consideration for socially vulnerable communities historically excluded from, marginalized by, or face barriers to participation in workplace retirement savings programs.</w:t>
      </w:r>
    </w:p>
    <w:p>
      <w:pPr>
        <w:spacing w:before="0" w:after="0" w:line="408" w:lineRule="exact"/>
        <w:ind w:left="0" w:right="0" w:firstLine="576"/>
        <w:jc w:val="left"/>
      </w:pPr>
      <w:r>
        <w:rPr/>
        <w:t xml:space="preserve">• Requires the governing board to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90a31994c4e63" /></Relationships>
</file>