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4b02bfb7e48c7" /></Relationships>
</file>

<file path=word/document.xml><?xml version="1.0" encoding="utf-8"?>
<w:document xmlns:w="http://schemas.openxmlformats.org/wordprocessingml/2006/main">
  <w:body>
    <w:p>
      <w:r>
        <w:rPr>
          <w:b/>
        </w:rPr>
        <w:r>
          <w:rPr/>
          <w:t xml:space="preserve">1134-S2.E</w:t>
        </w:r>
      </w:r>
      <w:r>
        <w:rPr>
          <w:b/>
        </w:rPr>
        <w:t xml:space="preserve"> </w:t>
        <w:t xml:space="preserve">AMS</w:t>
      </w:r>
      <w:r>
        <w:rPr>
          <w:b/>
        </w:rPr>
        <w:t xml:space="preserve"> </w:t>
        <w:r>
          <w:rPr/>
          <w:t xml:space="preserve">ENGR</w:t>
        </w:r>
      </w:r>
      <w:r>
        <w:rPr>
          <w:b/>
        </w:rPr>
        <w:t xml:space="preserve"> </w:t>
        <w:r>
          <w:rPr/>
          <w:t xml:space="preserve">S2637.E</w:t>
        </w:r>
      </w:r>
      <w:r>
        <w:rPr>
          <w:b/>
        </w:rPr>
        <w:t xml:space="preserve"> - NOT FOR FLOOR USE</w:t>
      </w:r>
    </w:p>
    <w:p>
      <w:pPr>
        <w:ind w:left="0" w:right="0" w:firstLine="576"/>
      </w:pPr>
    </w:p>
    <w:p>
      <w:pPr>
        <w:spacing w:before="480" w:after="0" w:line="408" w:lineRule="exact"/>
      </w:pPr>
      <w:r>
        <w:rPr>
          <w:b/>
          <w:u w:val="single"/>
        </w:rPr>
        <w:t xml:space="preserve">E2SHB 1134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u w:val="single"/>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9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w:t>
      </w:r>
    </w:p>
    <w:p>
      <w:pPr>
        <w:spacing w:before="0" w:after="0" w:line="408" w:lineRule="exact"/>
        <w:ind w:left="0" w:right="0" w:firstLine="576"/>
        <w:jc w:val="left"/>
      </w:pPr>
      <w:r>
        <w:rPr>
          <w:u w:val="single"/>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9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9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9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530</w:t>
      </w:r>
      <w:r>
        <w:rPr/>
        <w:t xml:space="preserve"> and 2021 c 302 s 107 are each amended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chapter 302, Laws of 2021,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chapter 302, Laws of 2021;</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w:t>
      </w:r>
      <w:r>
        <w:t>((</w:t>
      </w:r>
      <w:r>
        <w:rPr>
          <w:strike/>
        </w:rPr>
        <w:t xml:space="preserve">enhanced</w:t>
      </w:r>
      <w:r>
        <w:t>))</w:t>
      </w:r>
      <w:r>
        <w:rPr/>
        <w:t xml:space="preserve">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w:t>
      </w:r>
      <w:r>
        <w:t>((</w:t>
      </w:r>
      <w:r>
        <w:rPr>
          <w:strike/>
        </w:rPr>
        <w:t xml:space="preserve">enhanced</w:t>
      </w:r>
      <w:r>
        <w:t>))</w:t>
      </w:r>
      <w:r>
        <w:rPr/>
        <w:t xml:space="preserve">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9 of this act. Ten percent of the annual receipts from the tax must be dedicated to the establishment grants, performance payments, and supplemental performance payments for mobile rapid response crisis teams and community-based crisis teams endorsed under section 9 of this act and endorsement activities in section 9 of this act, up to 30 percent of which is dedicated to mobile rapid response crisis teams and community-based crisis teams endorsed under section 9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behavioral health administrative services organizations, in collaboration with the University of Washington, the Harborview behavioral health institute, the Washington council for behavioral health, and the statewide 988 coordinator, shall plan for regional collaboration among behavioral health providers and first responders working within the 988 crisis response and suicide prevention system, standardize practices and protocols, and develop a needs assessment for trainings. Under leadership by the authority and behavioral health administrative services organizations this work shall be divided as described in this section.</w:t>
      </w:r>
    </w:p>
    <w:p>
      <w:pPr>
        <w:spacing w:before="0" w:after="0" w:line="408" w:lineRule="exact"/>
        <w:ind w:left="0" w:right="0" w:firstLine="576"/>
        <w:jc w:val="left"/>
      </w:pPr>
      <w:r>
        <w:rPr/>
        <w:t xml:space="preserve">(2) The University of Washington, through the Harborview behavioral health institute, shall develop an assessment of training needs, a mapping of current and future funded crisis response providers, and a comprehensive review of all behavioral health training required in statute and in rule. The training needs assessment, mapping of crisis providers, and research on existing training requirements must be completed by June 30, 2024. The Harborview behavioral health institute may contract for all or any portion of this work. The Harborview behavioral health institute shall consult with, at a minimum, the following key stakeholders:</w:t>
      </w:r>
    </w:p>
    <w:p>
      <w:pPr>
        <w:spacing w:before="0" w:after="0" w:line="408" w:lineRule="exact"/>
        <w:ind w:left="0" w:right="0" w:firstLine="576"/>
        <w:jc w:val="left"/>
      </w:pPr>
      <w:r>
        <w:rPr/>
        <w:t xml:space="preserve">(a)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(b)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(c) A representative of crisis call centers;</w:t>
      </w:r>
    </w:p>
    <w:p>
      <w:pPr>
        <w:spacing w:before="0" w:after="0" w:line="408" w:lineRule="exact"/>
        <w:ind w:left="0" w:right="0" w:firstLine="576"/>
        <w:jc w:val="left"/>
      </w:pPr>
      <w:r>
        <w:rPr/>
        <w:t xml:space="preserve">(d) The authority and the department;</w:t>
      </w:r>
    </w:p>
    <w:p>
      <w:pPr>
        <w:spacing w:before="0" w:after="0" w:line="408" w:lineRule="exact"/>
        <w:ind w:left="0" w:right="0" w:firstLine="576"/>
        <w:jc w:val="left"/>
      </w:pPr>
      <w:r>
        <w:rPr/>
        <w:t xml:space="preserve">(e) At least two members who are persons with lived experience related to mental health issues, substance use disorder issues, a suicide attempt, or a suicide loss;</w:t>
      </w:r>
    </w:p>
    <w:p>
      <w:pPr>
        <w:spacing w:before="0" w:after="0" w:line="408" w:lineRule="exact"/>
        <w:ind w:left="0" w:right="0" w:firstLine="576"/>
        <w:jc w:val="left"/>
      </w:pPr>
      <w:r>
        <w:rPr/>
        <w:t xml:space="preserve">(f) A representative of a statewide organization of field experts consisting of first responders, behavioral health professionals, and project managers working in co-response programs in Washington; and</w:t>
      </w:r>
    </w:p>
    <w:p>
      <w:pPr>
        <w:spacing w:before="0" w:after="0" w:line="408" w:lineRule="exact"/>
        <w:ind w:left="0" w:right="0" w:firstLine="576"/>
        <w:jc w:val="left"/>
      </w:pPr>
      <w:r>
        <w:rPr/>
        <w:t xml:space="preserve">(g) Advocates for and organizations representing persons with developmental disabilities, veterans, American Indians and Alaska Native populations, LGBTQ populations, and persons connected with the agricultural community, as deemed appropriate by each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(3) The authority and behavioral health services organizations, in collaboration with the stakeholders specified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regional leaders,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(3),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9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(4) The authority shall submit a report on the items developed in this section to the governor and the appropriate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in their role as regional behavioral health system leaders, in partnership with the authority, shall convene an annual crisis continuum of care forum, led by the behavioral health administrative services organizations, with participation from partners serving regional service areas, including managed care organizations, behavioral health providers, mobile rapid response crisis teams, 988 call center hubs, counties, tribes, and other regional partners, to identify and develop collaborative regional-based solutions which may include capital infrastructure requests, local capacity building, or community investments including joint funding opportunities, innovative and scalable pilot initiatives, or other funder and stakeholder partnerships. The authority shall provide funding for this annual crisis continuum of care forum. Behavioral health administrative services organizations and the authority shall jointly submit recommendations, as appropriate, supporting these efforts to the joint legislative executive committee on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9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9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04/08/2023</w:t>
      </w:r>
    </w:p>
    <w:p>
      <w:pPr>
        <w:spacing w:before="0" w:after="0" w:line="408" w:lineRule="exact"/>
        <w:ind w:left="0" w:right="0" w:firstLine="576"/>
        <w:jc w:val="left"/>
      </w:pPr>
      <w:r>
        <w:rPr/>
        <w:t xml:space="preserve">On page 1, line 2 of the title, after "system;" strike the remainder of the title and insert "amending RCW 71.24.890, 71.24.892, 71.24.896, 43.06.530, and 82.86.050; reenacting and amending RCW 71.24.025, 71.24.037, and 43.70.442; adding new sections to chapter 71.24 RCW; adding a new section to chapter 38.60 RCW; creating a new section;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e76ff3944442c" /></Relationships>
</file>