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c867f481a84b6e" /></Relationships>
</file>

<file path=word/document.xml><?xml version="1.0" encoding="utf-8"?>
<w:document xmlns:w="http://schemas.openxmlformats.org/wordprocessingml/2006/main">
  <w:body>
    <w:p>
      <w:r>
        <w:rPr>
          <w:b/>
        </w:rPr>
        <w:r>
          <w:rPr/>
          <w:t xml:space="preserve">1181-S2.E</w:t>
        </w:r>
      </w:r>
      <w:r>
        <w:rPr>
          <w:b/>
        </w:rPr>
        <w:t xml:space="preserve"> </w:t>
        <w:t xml:space="preserve">AMS</w:t>
      </w:r>
      <w:r>
        <w:rPr>
          <w:b/>
        </w:rPr>
        <w:t xml:space="preserve"> </w:t>
        <w:r>
          <w:rPr/>
          <w:t xml:space="preserve">GILD</w:t>
        </w:r>
      </w:r>
      <w:r>
        <w:rPr>
          <w:b/>
        </w:rPr>
        <w:t xml:space="preserve"> </w:t>
        <w:r>
          <w:rPr/>
          <w:t xml:space="preserve">S3134.1</w:t>
        </w:r>
      </w:r>
      <w:r>
        <w:rPr>
          <w:b/>
        </w:rPr>
        <w:t xml:space="preserve"> - NOT FOR FLOOR USE</w:t>
      </w:r>
    </w:p>
    <w:p>
      <w:pPr>
        <w:ind w:left="0" w:right="0" w:firstLine="576"/>
      </w:pPr>
    </w:p>
    <w:p>
      <w:pPr>
        <w:spacing w:before="480" w:after="0" w:line="408" w:lineRule="exact"/>
      </w:pPr>
      <w:r>
        <w:rPr>
          <w:b/>
          <w:u w:val="single"/>
        </w:rPr>
        <w:t xml:space="preserve">E2SHB 1181</w:t>
      </w:r>
      <w:r>
        <w:t xml:space="preserve"> -</w:t>
      </w:r>
      <w:r>
        <w:t xml:space="preserve"> </w:t>
        <w:t xml:space="preserve">S AMD TO S AMD (S-2967.1/23)</w:t>
      </w:r>
      <w:r>
        <w:t xml:space="preserve"> </w:t>
      </w:r>
      <w:r>
        <w:rPr>
          <w:b/>
        </w:rPr>
        <w:t xml:space="preserve">349</w:t>
      </w:r>
    </w:p>
    <w:p>
      <w:pPr>
        <w:spacing w:before="0" w:after="0" w:line="408" w:lineRule="exact"/>
        <w:ind w:left="0" w:right="0" w:firstLine="576"/>
        <w:jc w:val="left"/>
      </w:pPr>
      <w:r>
        <w:rPr/>
        <w:t xml:space="preserve">By Senator Gildon</w:t>
      </w:r>
    </w:p>
    <w:p>
      <w:pPr>
        <w:jc w:val="right"/>
      </w:pPr>
      <w:r>
        <w:rPr>
          <w:b/>
        </w:rPr>
        <w:t xml:space="preserve">NOT ADOPTED 04/07/2023</w:t>
      </w:r>
    </w:p>
    <w:p>
      <w:pPr>
        <w:spacing w:before="0" w:after="0" w:line="408" w:lineRule="exact"/>
        <w:ind w:left="0" w:right="0" w:firstLine="576"/>
        <w:jc w:val="left"/>
      </w:pPr>
      <w:r>
        <w:rPr/>
        <w:t xml:space="preserve">On page 20, after line 24, insert the following:</w:t>
      </w:r>
    </w:p>
    <w:p>
      <w:pPr>
        <w:spacing w:before="0" w:after="0" w:line="408" w:lineRule="exact"/>
        <w:ind w:left="0" w:right="0" w:firstLine="576"/>
        <w:jc w:val="left"/>
      </w:pPr>
      <w:r>
        <w:rPr/>
        <w:t xml:space="preserve">"(7) The adoption of ordinances, amendments to comprehensive plans, amendments to development regulations, and other nonproject actions taken by a county or city to include in its comprehensive plan a climate change and resiliency element or the requirements to the land use element, capital facilities element, parks and recreation element, transportation element, and utilities element established by this act are not subject to administrative or judicial appeal to the growth management hearings board under RCW 36.70A.280, except that the actions taken by a county or city to include the requirements of this section may be subject to administrative or judicial appeal if at least 10 years has commenced since the jurisdiction's scheduled update of its comprehensive plan as established by RCW 36.70A.130(5)."</w:t>
      </w:r>
    </w:p>
    <w:p>
      <w:pPr>
        <w:spacing w:before="0" w:after="0" w:line="408" w:lineRule="exact"/>
        <w:ind w:left="0" w:right="0" w:firstLine="576"/>
        <w:jc w:val="left"/>
      </w:pPr>
      <w:r>
        <w:rPr/>
        <w:t xml:space="preserve">On page 25, after line 8, insert the following:</w:t>
      </w:r>
    </w:p>
    <w:p>
      <w:pPr>
        <w:spacing w:before="0" w:after="0" w:line="408" w:lineRule="exact"/>
        <w:ind w:left="0" w:right="0" w:firstLine="576"/>
        <w:jc w:val="left"/>
      </w:pPr>
      <w:r>
        <w:rPr/>
        <w:t xml:space="preserve">"(c) The provisions in this subsection take effect as follows:</w:t>
      </w:r>
    </w:p>
    <w:p>
      <w:pPr>
        <w:spacing w:before="0" w:after="0" w:line="408" w:lineRule="exact"/>
        <w:ind w:left="0" w:right="0" w:firstLine="576"/>
        <w:jc w:val="left"/>
      </w:pPr>
      <w:r>
        <w:rPr/>
        <w:t xml:space="preserve">(i) On December 31, 2034, for King, Kitsap, Pierce, and Snohomish counties and the cities within those counties;</w:t>
      </w:r>
    </w:p>
    <w:p>
      <w:pPr>
        <w:spacing w:before="0" w:after="0" w:line="408" w:lineRule="exact"/>
        <w:ind w:left="0" w:right="0" w:firstLine="576"/>
        <w:jc w:val="left"/>
      </w:pPr>
      <w:r>
        <w:rPr/>
        <w:t xml:space="preserve">(ii) On June 30, 2035,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June 30, 2036,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June 30, 2037,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u w:val="single"/>
        </w:rPr>
        <w:t xml:space="preserve">EFFECT:</w:t>
      </w:r>
      <w:r>
        <w:rPr/>
        <w:t xml:space="preserve"> Provides that the adoption of ordinances, amendments to comprehensive plans, amendments to development regulations, and other nonproject actions taken by a county or city to implement the climate change and resiliency element as well as the elements amended by this act are not subject to administrative or judicial review to the growth management hearings board until the jurisdiction's next comprehensive plan update. Provides that Commerce's final decision to approve or reject a proposed greenhouse gas emissions reduction subelement or amendment by a local government takes effect after the jurisdiction's next comprehensive plan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415e2ded84281" /></Relationships>
</file>