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96e8076b64b51"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LOVE</w:t>
        </w:r>
      </w:r>
      <w:r>
        <w:rPr>
          <w:b/>
        </w:rPr>
        <w:t xml:space="preserve"> </w:t>
        <w:r>
          <w:rPr/>
          <w:t xml:space="preserve">S2967.1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Lovelett</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u w:val="single"/>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w:t>
      </w:r>
      <w:r>
        <w:t>((</w:t>
      </w:r>
      <w:r>
        <w:rPr>
          <w:strike/>
        </w:rPr>
        <w:t xml:space="preserve">,</w:t>
      </w:r>
      <w:r>
        <w:t>))</w:t>
      </w:r>
      <w:r>
        <w:rPr/>
        <w:t xml:space="preserve"> including, but not limited to,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(b), or (c)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 Jurisdictions whose periodic updates are required by RCW 36.70A.130(5)(b) may utilize the intermediate set of guidelines published by the department of commerce to meet the requirements of RCW 36.70A.070(9).</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17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1181</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Lovelett</w:t>
      </w:r>
    </w:p>
    <w:p>
      <w:pPr>
        <w:jc w:val="right"/>
      </w:pPr>
      <w:r>
        <w:rPr>
          <w:b/>
        </w:rPr>
        <w:t xml:space="preserve">ADOPTED AS AMENDED 04/07/2023</w:t>
      </w:r>
    </w:p>
    <w:p>
      <w:pPr>
        <w:spacing w:before="0" w:after="0" w:line="408" w:lineRule="exact"/>
        <w:ind w:left="0" w:right="0" w:firstLine="576"/>
        <w:jc w:val="left"/>
      </w:pPr>
      <w:r>
        <w:rPr/>
        <w:t xml:space="preserve">On page 1, line 2 of the title, after "framework;" strike the remainder of the title and insert "amending RCW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p>
      <w:pPr>
        <w:spacing w:before="0" w:after="0" w:line="408" w:lineRule="exact"/>
        <w:ind w:left="0" w:right="0" w:firstLine="576"/>
        <w:jc w:val="left"/>
      </w:pPr>
      <w:r>
        <w:rPr>
          <w:u w:val="single"/>
        </w:rPr>
        <w:t xml:space="preserve">EFFECT:</w:t>
      </w:r>
      <w:r>
        <w:rPr/>
        <w:t xml:space="preserve"> (1) Requires a fully planning city or county to identify all public entities that own capital facilities and endeavor in good faith to gather and include the information required by the capital facilities element in comprehensive plans. If, after good faith effort, the jurisdiction is unable to gather the information required by this element, the failure to include the information cannot be grounds for finding of noncompliance or invalidity under the Growth Management Act;</w:t>
      </w:r>
    </w:p>
    <w:p>
      <w:pPr>
        <w:spacing w:before="0" w:after="0" w:line="408" w:lineRule="exact"/>
        <w:ind w:left="0" w:right="0" w:firstLine="576"/>
        <w:jc w:val="left"/>
      </w:pPr>
      <w:r>
        <w:rPr/>
        <w:t xml:space="preserve">(2) Amends the utilities element to include the general location, proposed location, and capacity of all existing and proposed utilities, including electrical, telecommunications, and natural gas systems, rather than components of drinking water, stormwater, wastewater, electrical lines, telecommunication lines, and natural gas lines;</w:t>
      </w:r>
    </w:p>
    <w:p>
      <w:pPr>
        <w:spacing w:before="0" w:after="0" w:line="408" w:lineRule="exact"/>
        <w:ind w:left="0" w:right="0" w:firstLine="576"/>
        <w:jc w:val="left"/>
      </w:pPr>
      <w:r>
        <w:rPr/>
        <w:t xml:space="preserve">(3) Defines good faith effort for purposes of the utilities element;</w:t>
      </w:r>
    </w:p>
    <w:p>
      <w:pPr>
        <w:spacing w:before="0" w:after="0" w:line="408" w:lineRule="exact"/>
        <w:ind w:left="0" w:right="0" w:firstLine="576"/>
        <w:jc w:val="left"/>
      </w:pPr>
      <w:r>
        <w:rPr/>
        <w:t xml:space="preserve">(4) Provides that jurisdictions whose periodic updates are due on or before June 30, 2025, may utilize the intermediate set of guidelines published by Commerce to meet the requirements of the climate change and resiliency element; and</w:t>
      </w:r>
    </w:p>
    <w:p>
      <w:pPr>
        <w:spacing w:before="0" w:after="0" w:line="408" w:lineRule="exact"/>
        <w:ind w:left="0" w:right="0" w:firstLine="576"/>
        <w:jc w:val="left"/>
      </w:pPr>
      <w:r>
        <w:rPr/>
        <w:t xml:space="preserve">(5) Makes technical corrections to internal references throughout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3b4a9f9994439" /></Relationships>
</file>