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536c4bb1b4e8c" /></Relationships>
</file>

<file path=word/document.xml><?xml version="1.0" encoding="utf-8"?>
<w:document xmlns:w="http://schemas.openxmlformats.org/wordprocessingml/2006/main">
  <w:body>
    <w:p>
      <w:r>
        <w:rPr>
          <w:b/>
        </w:rPr>
        <w:r>
          <w:rPr/>
          <w:t xml:space="preserve">1185-S2.E</w:t>
        </w:r>
      </w:r>
      <w:r>
        <w:rPr>
          <w:b/>
        </w:rPr>
        <w:t xml:space="preserve"> </w:t>
        <w:t xml:space="preserve">AMS</w:t>
      </w:r>
      <w:r>
        <w:rPr>
          <w:b/>
        </w:rPr>
        <w:t xml:space="preserve"> </w:t>
        <w:r>
          <w:rPr/>
          <w:t xml:space="preserve">ENET</w:t>
        </w:r>
      </w:r>
      <w:r>
        <w:rPr>
          <w:b/>
        </w:rPr>
        <w:t xml:space="preserve"> </w:t>
        <w:r>
          <w:rPr/>
          <w:t xml:space="preserve">S5157.2</w:t>
        </w:r>
      </w:r>
      <w:r>
        <w:rPr>
          <w:b/>
        </w:rPr>
        <w:t xml:space="preserve"> - NOT FOR FLOOR USE</w:t>
      </w:r>
    </w:p>
    <w:p>
      <w:pPr>
        <w:ind w:left="0" w:right="0" w:firstLine="576"/>
      </w:pPr>
      <w:r>
        <w:rPr/>
        <w:t xml:space="preserve"> </w:t>
      </w:r>
    </w:p>
    <w:p>
      <w:pPr>
        <w:spacing w:before="480" w:after="0" w:line="408" w:lineRule="exact"/>
      </w:pPr>
      <w:r>
        <w:rPr>
          <w:b/>
          <w:u w:val="single"/>
        </w:rPr>
        <w:t xml:space="preserve">E2SHB 1185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and termination or possible extension under chapter 43.131 RCW, the sunset act. If the mercury-containing lights product stewardship program were allowed to sunset as scheduled, Washington residents would lose a consistent, convenient, and safe way to return unwanted mercury-containing lights, which will remain in use for years as existing inventory winds down, even as the lighting industry has moved away from most mercury-containing lights. Mercury-containing lights present such a significant health risk that other states have recently restricted their sale, which represents a solution to reduce the public health impacts of new lighting products, but does not address the end-of-life management issues associated with the existing light bulbs currently in use. </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most mercury-containing lights;</w:t>
      </w:r>
    </w:p>
    <w:p>
      <w:pPr>
        <w:spacing w:before="0" w:after="0" w:line="408" w:lineRule="exact"/>
        <w:ind w:left="0" w:right="0" w:firstLine="576"/>
        <w:jc w:val="left"/>
      </w:pPr>
      <w:r>
        <w:rPr/>
        <w:t xml:space="preserve">(b) Extend the implementation of the stewardship program for mercury-containing lights; and</w:t>
      </w:r>
    </w:p>
    <w:p>
      <w:pPr>
        <w:spacing w:before="0" w:after="0" w:line="408" w:lineRule="exact"/>
        <w:ind w:left="0" w:right="0" w:firstLine="576"/>
        <w:jc w:val="left"/>
      </w:pPr>
      <w:r>
        <w:rPr/>
        <w:t xml:space="preserve">(c) Modernize key elements of the state's mercury-containing lights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2004, a manufacturer, wholesaler, or retailer may not knowingly sell at retail a fluorescent lamp if the fluorescent lamp contains mercury 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p>
    <w:p>
      <w:pPr>
        <w:spacing w:before="0" w:after="0" w:line="408" w:lineRule="exact"/>
        <w:ind w:left="0" w:right="0" w:firstLine="576"/>
        <w:jc w:val="left"/>
      </w:pPr>
      <w:r>
        <w:rPr/>
        <w:t xml:space="preserve">(2) 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t xml:space="preserve">(a) A label affixed to the lamp that displays the internationally recognized symbol for the element mercury; and</w:t>
      </w:r>
    </w:p>
    <w:p>
      <w:pPr>
        <w:spacing w:before="0" w:after="0" w:line="408" w:lineRule="exact"/>
        <w:ind w:left="0" w:right="0" w:firstLine="576"/>
        <w:jc w:val="left"/>
      </w:pPr>
      <w:r>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t xml:space="preserve">(4) The provisions of this section do not apply to products containing mercury-added lamps.</w:t>
      </w:r>
    </w:p>
    <w:p>
      <w:pPr>
        <w:spacing w:before="0" w:after="0" w:line="408" w:lineRule="exact"/>
        <w:ind w:left="0" w:right="0" w:firstLine="576"/>
        <w:jc w:val="left"/>
      </w:pPr>
      <w:r>
        <w:rPr>
          <w:u w:val="single"/>
        </w:rPr>
        <w:t xml:space="preserve">(5) Beginning January 1, 2029, a manufacturer, wholesaler, or retailer may not knowingly sell a compact fluorescent lamp or linear fluorescent lamp.</w:t>
      </w:r>
    </w:p>
    <w:p>
      <w:pPr>
        <w:spacing w:before="0" w:after="0" w:line="408" w:lineRule="exact"/>
        <w:ind w:left="0" w:right="0" w:firstLine="576"/>
        <w:jc w:val="left"/>
      </w:pPr>
      <w:r>
        <w:rPr>
          <w:u w:val="single"/>
        </w:rPr>
        <w:t xml:space="preserve">(6) The provisions of subsection (5) of this section do not apply to:</w:t>
      </w:r>
    </w:p>
    <w:p>
      <w:pPr>
        <w:spacing w:before="0" w:after="0" w:line="408" w:lineRule="exact"/>
        <w:ind w:left="0" w:right="0" w:firstLine="576"/>
        <w:jc w:val="left"/>
      </w:pPr>
      <w:r>
        <w:rPr>
          <w:u w:val="single"/>
        </w:rPr>
        <w:t xml:space="preserve">(a) A special purpose mercury-containing light;</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mercury-containing lights as a casual or isolated sale as defined in RCW 82.04.040.</w:t>
      </w:r>
    </w:p>
    <w:p>
      <w:pPr>
        <w:spacing w:before="0" w:after="0" w:line="408" w:lineRule="exact"/>
        <w:ind w:left="0" w:right="0" w:firstLine="576"/>
        <w:jc w:val="left"/>
      </w:pPr>
      <w:r>
        <w:rPr>
          <w:u w:val="single"/>
        </w:rPr>
        <w:t xml:space="preserve">(7)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(8) The department may adopt rules to implement, administer, and enforce the requirements of this section.</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"Compact fluorescent lamp" means a compact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One base (end cap) of any type including, but not limited to, screw, bayonet, two pins, and four pins;</w:t>
      </w:r>
    </w:p>
    <w:p>
      <w:pPr>
        <w:spacing w:before="0" w:after="0" w:line="408" w:lineRule="exact"/>
        <w:ind w:left="0" w:right="0" w:firstLine="576"/>
        <w:jc w:val="left"/>
      </w:pPr>
      <w:r>
        <w:rPr>
          <w:u w:val="single"/>
        </w:rPr>
        <w:t xml:space="preserve">(ii) Integrally ballasted or nonintegrally ballasted;</w:t>
      </w:r>
    </w:p>
    <w:p>
      <w:pPr>
        <w:spacing w:before="0" w:after="0" w:line="408" w:lineRule="exact"/>
        <w:ind w:left="0" w:right="0" w:firstLine="576"/>
        <w:jc w:val="left"/>
      </w:pPr>
      <w:r>
        <w:rPr>
          <w:u w:val="single"/>
        </w:rPr>
        <w:t xml:space="preserve">(iii) Light emission between a correlated color temperature of 1700K and 24000K and a Duv of +0.024 and -0.024 in the international commission on illumination (CIE) uniform color space (CAM02-UCS);</w:t>
      </w:r>
    </w:p>
    <w:p>
      <w:pPr>
        <w:spacing w:before="0" w:after="0" w:line="408" w:lineRule="exact"/>
        <w:ind w:left="0" w:right="0" w:firstLine="576"/>
        <w:jc w:val="left"/>
      </w:pPr>
      <w:r>
        <w:rPr>
          <w:u w:val="single"/>
        </w:rPr>
        <w:t xml:space="preserve">(iv) All tube diameters and all tube lengths;</w:t>
      </w:r>
    </w:p>
    <w:p>
      <w:pPr>
        <w:spacing w:before="0" w:after="0" w:line="408" w:lineRule="exact"/>
        <w:ind w:left="0" w:right="0" w:firstLine="576"/>
        <w:jc w:val="left"/>
      </w:pPr>
      <w:r>
        <w:rPr>
          <w:u w:val="single"/>
        </w:rPr>
        <w:t xml:space="preserve">(v) All lamp sizes and shapes for directional and nondirectional installations including, but not limited to, PL, spiral, twin tube, triple twin, 2D, U-bend, and circular.</w:t>
      </w:r>
    </w:p>
    <w:p>
      <w:pPr>
        <w:spacing w:before="0" w:after="0" w:line="408" w:lineRule="exact"/>
        <w:ind w:left="0" w:right="0" w:firstLine="576"/>
        <w:jc w:val="left"/>
      </w:pPr>
      <w:r>
        <w:rPr>
          <w:u w:val="single"/>
        </w:rPr>
        <w:t xml:space="preserve">(b) "Linear fluorescent lamp" means a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Two bases (end caps) of any type including, but not limited to, single-pin, two-pin, and recessed double contact;</w:t>
      </w:r>
    </w:p>
    <w:p>
      <w:pPr>
        <w:spacing w:before="0" w:after="0" w:line="408" w:lineRule="exact"/>
        <w:ind w:left="0" w:right="0" w:firstLine="576"/>
        <w:jc w:val="left"/>
      </w:pPr>
      <w:r>
        <w:rPr>
          <w:u w:val="single"/>
        </w:rPr>
        <w:t xml:space="preserve">(ii) Light emission between a correlated color temperature of 1700K and 24000K and a Duv of +0.024 and -0.024 in the CIE CAM02-UCS;</w:t>
      </w:r>
    </w:p>
    <w:p>
      <w:pPr>
        <w:spacing w:before="0" w:after="0" w:line="408" w:lineRule="exact"/>
        <w:ind w:left="0" w:right="0" w:firstLine="576"/>
        <w:jc w:val="left"/>
      </w:pPr>
      <w:r>
        <w:rPr>
          <w:u w:val="single"/>
        </w:rPr>
        <w:t xml:space="preserve">(iii) All tube diameters including, but not limited to, T5, T8, T10, and T12;</w:t>
      </w:r>
    </w:p>
    <w:p>
      <w:pPr>
        <w:spacing w:before="0" w:after="0" w:line="408" w:lineRule="exact"/>
        <w:ind w:left="0" w:right="0" w:firstLine="576"/>
        <w:jc w:val="left"/>
      </w:pPr>
      <w:r>
        <w:rPr>
          <w:u w:val="single"/>
        </w:rPr>
        <w:t xml:space="preserve">(iv) All tube lengths from 0.5 to 8.0 feet, inclusive; and</w:t>
      </w:r>
    </w:p>
    <w:p>
      <w:pPr>
        <w:spacing w:before="0" w:after="0" w:line="408" w:lineRule="exact"/>
        <w:ind w:left="0" w:right="0" w:firstLine="576"/>
        <w:jc w:val="left"/>
      </w:pPr>
      <w:r>
        <w:rPr>
          <w:u w:val="single"/>
        </w:rPr>
        <w:t xml:space="preserve">(v) All lamp shapes including, but not limited to, linear, U-bend, and circular.</w:t>
      </w:r>
    </w:p>
    <w:p>
      <w:pPr>
        <w:spacing w:before="0" w:after="0" w:line="408" w:lineRule="exact"/>
        <w:ind w:left="0" w:right="0" w:firstLine="576"/>
        <w:jc w:val="left"/>
      </w:pPr>
      <w:r>
        <w:rPr>
          <w:u w:val="single"/>
        </w:rPr>
        <w:t xml:space="preserve">(c) "Special purpose mercury-containing light" includes any of the following lights that contain mercury:</w:t>
      </w:r>
    </w:p>
    <w:p>
      <w:pPr>
        <w:spacing w:before="0" w:after="0" w:line="408" w:lineRule="exact"/>
        <w:ind w:left="0" w:right="0" w:firstLine="576"/>
        <w:jc w:val="left"/>
      </w:pPr>
      <w:r>
        <w:rPr>
          <w:u w:val="single"/>
        </w:rPr>
        <w:t xml:space="preserve">(i) A lamp designed and marketed exclusively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(ii) A lamp that has a high proportion of ultraviolet light emission and is one of the following:</w:t>
      </w:r>
    </w:p>
    <w:p>
      <w:pPr>
        <w:spacing w:before="0" w:after="0" w:line="408" w:lineRule="exact"/>
        <w:ind w:left="0" w:right="0" w:firstLine="576"/>
        <w:jc w:val="left"/>
      </w:pPr>
      <w:r>
        <w:rPr>
          <w:u w:val="single"/>
        </w:rPr>
        <w:t xml:space="preserve">(A) A lamp with high ultraviolet content that has ultraviolet power greater than two milliwatts per kilolumen (mW/klm);</w:t>
      </w:r>
    </w:p>
    <w:p>
      <w:pPr>
        <w:spacing w:before="0" w:after="0" w:line="408" w:lineRule="exact"/>
        <w:ind w:left="0" w:right="0" w:firstLine="576"/>
        <w:jc w:val="left"/>
      </w:pPr>
      <w:r>
        <w:rPr>
          <w:u w:val="single"/>
        </w:rPr>
        <w:t xml:space="preserve">(B)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(C) A lamp designed and marketed exclusively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(D) A lamp designed and marketed exclusively for the generation of ozone where the primary purpose is to emit radiation at approximately 185.1 nanometers;</w:t>
      </w:r>
    </w:p>
    <w:p>
      <w:pPr>
        <w:spacing w:before="0" w:after="0" w:line="408" w:lineRule="exact"/>
        <w:ind w:left="0" w:right="0" w:firstLine="576"/>
        <w:jc w:val="left"/>
      </w:pPr>
      <w:r>
        <w:rPr>
          <w:u w:val="single"/>
        </w:rPr>
        <w:t xml:space="preserve">(E) A lamp designed and marketed exclusively for coral zooxanthellae symbiosis from which the radiation power emitted between 400 and 480 nanometers represents at least 40 percent of the total radiation power emitted between 250 and 800 nanometers;</w:t>
      </w:r>
    </w:p>
    <w:p>
      <w:pPr>
        <w:spacing w:before="0" w:after="0" w:line="408" w:lineRule="exact"/>
        <w:ind w:left="0" w:right="0" w:firstLine="576"/>
        <w:jc w:val="left"/>
      </w:pPr>
      <w:r>
        <w:rPr>
          <w:u w:val="single"/>
        </w:rPr>
        <w:t xml:space="preserve">(F) Any lamp designed and marketed exclusively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(G) Any lamp designed and marketed exclusively for use in a sunlamp product, as defined in 21 C.F.R. Sec. 1040.20(b)(9), January 1, 2023;</w:t>
      </w:r>
    </w:p>
    <w:p>
      <w:pPr>
        <w:spacing w:before="0" w:after="0" w:line="408" w:lineRule="exact"/>
        <w:ind w:left="0" w:right="0" w:firstLine="576"/>
        <w:jc w:val="left"/>
      </w:pPr>
      <w:r>
        <w:rPr>
          <w:u w:val="single"/>
        </w:rPr>
        <w:t xml:space="preserve">(H) A lamp designed and marketed exclusively for use in medical or veterinary diagnosis or treatment, or in a medical device;</w:t>
      </w:r>
    </w:p>
    <w:p>
      <w:pPr>
        <w:spacing w:before="0" w:after="0" w:line="408" w:lineRule="exact"/>
        <w:ind w:left="0" w:right="0" w:firstLine="576"/>
        <w:jc w:val="left"/>
      </w:pPr>
      <w:r>
        <w:rPr>
          <w:u w:val="single"/>
        </w:rPr>
        <w:t xml:space="preserve">(I) A lamp designed and marketed exclusively for use in the manufacturing or quality control of pharmaceutical products;</w:t>
      </w:r>
    </w:p>
    <w:p>
      <w:pPr>
        <w:spacing w:before="0" w:after="0" w:line="408" w:lineRule="exact"/>
        <w:ind w:left="0" w:right="0" w:firstLine="576"/>
        <w:jc w:val="left"/>
      </w:pPr>
      <w:r>
        <w:rPr>
          <w:u w:val="single"/>
        </w:rPr>
        <w:t xml:space="preserve">(J) A lamp designed and marketed exclusively for spectroscopy and photometric applications, such as UV-visible spectroscopy, molecular spectroscopy, atomic absorption spectroscopy, nondispersive infrared (NDIR), Fourier transform infrared (FTIR), medical analysis, ellipsometry, layer thickness measurement, process monitoring, or environmental monitoring;</w:t>
      </w:r>
    </w:p>
    <w:p>
      <w:pPr>
        <w:spacing w:before="0" w:after="0" w:line="408" w:lineRule="exact"/>
        <w:ind w:left="0" w:right="0" w:firstLine="576"/>
        <w:jc w:val="left"/>
      </w:pPr>
      <w:r>
        <w:rPr>
          <w:u w:val="single"/>
        </w:rPr>
        <w:t xml:space="preserve">(K) A lamp used by academic and research institutions for conducting research projects and experiments; or</w:t>
      </w:r>
    </w:p>
    <w:p>
      <w:pPr>
        <w:spacing w:before="0" w:after="0" w:line="408" w:lineRule="exact"/>
        <w:ind w:left="0" w:right="0" w:firstLine="576"/>
        <w:jc w:val="left"/>
      </w:pPr>
      <w:r>
        <w:rPr>
          <w:u w:val="single"/>
        </w:rPr>
        <w:t xml:space="preserve">(L) A compact fluorescent lamp used to replace a lamp in a motor vehicle manufactured on or before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mercury-containing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w:t>
      </w:r>
      <w:r>
        <w:rPr>
          <w:u w:val="single"/>
        </w:rPr>
        <w:t xml:space="preserve">this</w:t>
      </w:r>
      <w:r>
        <w:rPr/>
        <w:t xml:space="preserve"> chapter </w:t>
      </w:r>
      <w:r>
        <w:t>((</w:t>
      </w:r>
      <w:r>
        <w:rPr>
          <w:strike/>
        </w:rPr>
        <w:t xml:space="preserve">130, Laws of 2010</w:t>
      </w:r>
      <w:r>
        <w:t>))</w:t>
      </w:r>
      <w:r>
        <w:rPr/>
        <w:t xml:space="preserve"> is to achieve a statewide goal of recycling all end-of-life mercury-containing lights </w:t>
      </w:r>
      <w:r>
        <w:t>((</w:t>
      </w:r>
      <w:r>
        <w:rPr>
          <w:strike/>
        </w:rPr>
        <w:t xml:space="preserve">by 2020</w:t>
      </w:r>
      <w:r>
        <w:t>))</w:t>
      </w:r>
      <w:r>
        <w:rPr/>
        <w:t xml:space="preserve">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prohibiting the sale of most mercury-containing lights beginning in 2029 and to provide continuing collection of mercury-containing lights that have already entered the marketplace;</w:t>
      </w:r>
    </w:p>
    <w:p>
      <w:pPr>
        <w:spacing w:before="0" w:after="0" w:line="408" w:lineRule="exact"/>
        <w:ind w:left="0" w:right="0" w:firstLine="576"/>
        <w:jc w:val="left"/>
      </w:pPr>
      <w:r>
        <w:rPr/>
        <w:t xml:space="preserve">(4) Product producers must play a significant role in financing no-cost collection and processing programs for mercury-containing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w:t>
      </w:r>
      <w:r>
        <w:t>((</w:t>
      </w:r>
      <w:r>
        <w:rPr>
          <w:strike/>
        </w:rPr>
        <w:t xml:space="preserve">ten</w:t>
      </w:r>
      <w:r>
        <w:t>))</w:t>
      </w:r>
      <w:r>
        <w:rPr/>
        <w:t xml:space="preserve"> </w:t>
      </w:r>
      <w:r>
        <w:rPr>
          <w:u w:val="single"/>
        </w:rPr>
        <w:t xml:space="preserve">the following amounts of</w:t>
      </w:r>
      <w:r>
        <w:rPr/>
        <w:t xml:space="preserve"> mercury-containing lights to registered collectors for a product stewardship program on any given day</w:t>
      </w:r>
      <w:r>
        <w:rPr>
          <w:u w:val="single"/>
        </w:rPr>
        <w:t xml:space="preserve">:</w:t>
      </w:r>
    </w:p>
    <w:p>
      <w:pPr>
        <w:spacing w:before="0" w:after="0" w:line="408" w:lineRule="exact"/>
        <w:ind w:left="0" w:right="0" w:firstLine="576"/>
        <w:jc w:val="left"/>
      </w:pPr>
      <w:r>
        <w:rPr>
          <w:u w:val="single"/>
        </w:rPr>
        <w:t xml:space="preserve">(i) An unlimited number of compact fluorescent lamps, as defined in RCW 70A.230.020, that are mercury-containing lights under this chapter and that feature a screw base;</w:t>
      </w:r>
    </w:p>
    <w:p>
      <w:pPr>
        <w:spacing w:before="0" w:after="0" w:line="408" w:lineRule="exact"/>
        <w:ind w:left="0" w:right="0" w:firstLine="576"/>
        <w:jc w:val="left"/>
      </w:pPr>
      <w:r>
        <w:rPr>
          <w:u w:val="single"/>
        </w:rPr>
        <w:t xml:space="preserve">(ii) 15 pin-based compact or linear fluorescent lamps, as defined in RCW 70A.230.020, that are mercury-containing lights under this chapter; and</w:t>
      </w:r>
    </w:p>
    <w:p>
      <w:pPr>
        <w:spacing w:before="0" w:after="0" w:line="408" w:lineRule="exact"/>
        <w:ind w:left="0" w:right="0" w:firstLine="576"/>
        <w:jc w:val="left"/>
      </w:pPr>
      <w:r>
        <w:rPr>
          <w:u w:val="single"/>
        </w:rPr>
        <w:t xml:space="preserve">(iii) Two high-intensity discharge lamps that are mercury-containing lights under this chapter</w:t>
      </w:r>
      <w:r>
        <w:rPr/>
        <w:t xml:space="preserve">;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w:t>
      </w:r>
      <w:r>
        <w:t>((</w:t>
      </w:r>
      <w:r>
        <w:rPr>
          <w:strike/>
        </w:rPr>
        <w:t xml:space="preserve">fifteen</w:t>
      </w:r>
      <w:r>
        <w:t>))</w:t>
      </w:r>
      <w:r>
        <w:rPr/>
        <w:t xml:space="preserve"> </w:t>
      </w:r>
      <w:r>
        <w:rPr>
          <w:u w:val="single"/>
        </w:rPr>
        <w:t xml:space="preserve">15</w:t>
      </w:r>
      <w:r>
        <w:rPr/>
        <w:t xml:space="preserve">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w:t>
      </w:r>
      <w:r>
        <w:rPr>
          <w:u w:val="single"/>
        </w:rPr>
        <w:t xml:space="preserve">until December 31, 2028</w:t>
      </w:r>
      <w:r>
        <w:rPr/>
        <w:t xml:space="preserve">. The environmental handling charge must cover </w:t>
      </w:r>
      <w:r>
        <w:t>((</w:t>
      </w:r>
      <w:r>
        <w:rPr>
          <w:strike/>
        </w:rPr>
        <w:t xml:space="preserve">all</w:t>
      </w:r>
      <w:r>
        <w:t>))</w:t>
      </w:r>
      <w:r>
        <w:rPr/>
        <w:t xml:space="preserve"> </w:t>
      </w:r>
      <w:r>
        <w:rPr>
          <w:u w:val="single"/>
        </w:rPr>
        <w:t xml:space="preserve">current</w:t>
      </w:r>
      <w:r>
        <w:rPr/>
        <w:t xml:space="preserve">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70A.300 RCW.</w:t>
      </w:r>
    </w:p>
    <w:p>
      <w:pPr>
        <w:spacing w:before="0" w:after="0" w:line="408" w:lineRule="exact"/>
        <w:ind w:left="0" w:right="0" w:firstLine="576"/>
        <w:jc w:val="left"/>
      </w:pPr>
      <w:r>
        <w:rPr/>
        <w:t xml:space="preserve">(8) "Mail-back program" means the use of a prepaid postage container</w:t>
      </w:r>
      <w:r>
        <w:rPr>
          <w:u w:val="single"/>
        </w:rPr>
        <w:t xml:space="preserve">,</w:t>
      </w:r>
      <w:r>
        <w:rPr/>
        <w:t xml:space="preserve">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70A.505.050 and provided by producers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(27) "Legacy producer" means a producer that was required to participate in the product stewardship program established by this chapter at any point in time between January 1, 2015, and December 31, 2028.</w:t>
      </w:r>
    </w:p>
    <w:p>
      <w:pPr>
        <w:spacing w:before="0" w:after="0" w:line="408" w:lineRule="exact"/>
        <w:ind w:left="0" w:right="0" w:firstLine="576"/>
        <w:jc w:val="left"/>
      </w:pPr>
      <w:r>
        <w:rPr>
          <w:u w:val="single"/>
        </w:rPr>
        <w:t xml:space="preserve">(28) "Market share" means the percentage of mercury-containing lights that were products for which a producer had an obligation to participate in the program created in this chapter at any point in time between January 1, 2015, and December 31, 2028, by units sold during that period of time, as determined by the stewardship organization in RCW 70A.505.050.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w:t>
      </w:r>
      <w:r>
        <w:rPr>
          <w:u w:val="single"/>
        </w:rPr>
        <w:t xml:space="preserve">(a)</w:t>
      </w:r>
      <w:r>
        <w:rPr/>
        <w:t xml:space="preserve"> Every producer of mercury-containing lights sold</w:t>
      </w:r>
      <w:r>
        <w:rPr>
          <w:u w:val="single"/>
        </w:rPr>
        <w:t xml:space="preserve">, made available for sale, or distributed</w:t>
      </w:r>
      <w:r>
        <w:rPr/>
        <w:t xml:space="preserve"> in or into Washington state for retail sale in Washington state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 must satisfy these participation obligations individually or may do so jointly with other producers.</w:t>
      </w:r>
    </w:p>
    <w:p>
      <w:pPr>
        <w:spacing w:before="0" w:after="0" w:line="408" w:lineRule="exact"/>
        <w:ind w:left="0" w:right="0" w:firstLine="576"/>
        <w:jc w:val="left"/>
      </w:pPr>
      <w:r>
        <w:rPr>
          <w:u w:val="single"/>
        </w:rPr>
        <w:t xml:space="preserve">(b) Except as provided in (c) of this subsection, a stewardship organization implementing an approved program under this chapter must continue to implement an approved program until December 31, 2028, and may continue to do so in the form and manner described in the plan approved by the department as of January 1, 2024, until December 31, 2028. The provisions of this act apply to programs that a stewardship organization must implement beginning January 1, 2029, and to the rule adoption, fee payment to the department, plan submission, and plan approval processes that predate the implementation of the new program to begin January 1, 2029.</w:t>
      </w:r>
    </w:p>
    <w:p>
      <w:pPr>
        <w:spacing w:before="0" w:after="0" w:line="408" w:lineRule="exact"/>
        <w:ind w:left="0" w:right="0" w:firstLine="576"/>
        <w:jc w:val="left"/>
      </w:pPr>
      <w:r>
        <w:rPr>
          <w:u w:val="single"/>
        </w:rPr>
        <w:t xml:space="preserve">(c) A stewardship organization may not increase the amount of the environmental handling charge established under this chapter from the amount that was approved by the department as of January 1, 2024. Additional stewardship organization costs that are not adequately covered by the environmental handling charge and that derive from activities occurring between the effective date of this section and December 31, 2028, must be funded by participant members of the stewardship organization. Changes to the limits of mercury-containing lights accepted at collection sites must take effect January 1, 2025.</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Until December 31, 2028, a</w:t>
      </w:r>
      <w:r>
        <w:rPr/>
        <w:t xml:space="preserve"> stewardship organization operating a product stewardship program must pay </w:t>
      </w:r>
      <w:r>
        <w:t>((</w:t>
      </w:r>
      <w:r>
        <w:rPr>
          <w:strike/>
        </w:rPr>
        <w:t xml:space="preserve">all</w:t>
      </w:r>
      <w:r>
        <w:t>))</w:t>
      </w:r>
      <w:r>
        <w:rPr/>
        <w:t xml:space="preserve"> administrative and operational costs associated with its </w:t>
      </w:r>
      <w:r>
        <w:rPr>
          <w:u w:val="single"/>
        </w:rPr>
        <w:t xml:space="preserve">current</w:t>
      </w:r>
      <w:r>
        <w:rPr/>
        <w:t xml:space="preserve"> program with revenues received from the environmental handling charge </w:t>
      </w:r>
      <w:r>
        <w:t>((</w:t>
      </w:r>
      <w:r>
        <w:rPr>
          <w:strike/>
        </w:rPr>
        <w:t xml:space="preserve">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imposed under the plan approved by the department prior to the effective date of this section. For program administrative and operational costs related to the planning and implementation of the program requirements that must be implemented beginning in calendar year 2029, a stewardship organization operating a product stewardship program must pay all administrative and operational costs associated with its program with revenues received from participating legacy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no cost services in all cities in the state with populations greater than </w:t>
      </w:r>
      <w:r>
        <w:t>((</w:t>
      </w:r>
      <w:r>
        <w:rPr>
          <w:strike/>
        </w:rPr>
        <w:t xml:space="preserve">ten thousand</w:t>
      </w:r>
      <w:r>
        <w:t>))</w:t>
      </w:r>
      <w:r>
        <w:rPr/>
        <w:t xml:space="preserve"> </w:t>
      </w:r>
      <w:r>
        <w:rPr>
          <w:u w:val="single"/>
        </w:rPr>
        <w:t xml:space="preserve">10,000</w:t>
      </w:r>
      <w:r>
        <w:rPr/>
        <w:t xml:space="preserve"> and all counties of the state on an ongoing, year-round basis.</w:t>
      </w:r>
    </w:p>
    <w:p>
      <w:pPr>
        <w:spacing w:before="0" w:after="0" w:line="408" w:lineRule="exact"/>
        <w:ind w:left="0" w:right="0" w:firstLine="576"/>
        <w:jc w:val="left"/>
      </w:pPr>
      <w:r>
        <w:rPr>
          <w:u w:val="single"/>
        </w:rPr>
        <w:t xml:space="preserve">(b)(i) The department may amend the convenience standards established in this section to relieve a stewardship organization of its obligation to operate a collection site or to provide a collection opportunity when it is demonstrated by the stewardship organization to:</w:t>
      </w:r>
    </w:p>
    <w:p>
      <w:pPr>
        <w:spacing w:before="0" w:after="0" w:line="408" w:lineRule="exact"/>
        <w:ind w:left="0" w:right="0" w:firstLine="576"/>
        <w:jc w:val="left"/>
      </w:pPr>
      <w:r>
        <w:rPr>
          <w:u w:val="single"/>
        </w:rPr>
        <w:t xml:space="preserve">(A) Result in the annual collection of fewer than 500 mercury-containing lights; and</w:t>
      </w:r>
    </w:p>
    <w:p>
      <w:pPr>
        <w:spacing w:before="0" w:after="0" w:line="408" w:lineRule="exact"/>
        <w:ind w:left="0" w:right="0" w:firstLine="576"/>
        <w:jc w:val="left"/>
      </w:pPr>
      <w:r>
        <w:rPr>
          <w:u w:val="single"/>
        </w:rPr>
        <w:t xml:space="preserve">(B) Not remove collection opportunities for people living in a rural county or an overburdened community.</w:t>
      </w:r>
    </w:p>
    <w:p>
      <w:pPr>
        <w:spacing w:before="0" w:after="0" w:line="408" w:lineRule="exact"/>
        <w:ind w:left="0" w:right="0" w:firstLine="576"/>
        <w:jc w:val="left"/>
      </w:pPr>
      <w:r>
        <w:rPr>
          <w:u w:val="single"/>
        </w:rPr>
        <w:t xml:space="preserve">(ii) For the purposes of this subsection (4)(b), "rural county" has the same meaning provided in RCW 82.14.370 and "overburdened community" has the same meaning provided in RCW 70A.02.010.</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w:t>
      </w:r>
      <w:r>
        <w:t>((</w:t>
      </w:r>
      <w:r>
        <w:rPr>
          <w:strike/>
        </w:rPr>
        <w:t xml:space="preserve">covered products</w:t>
      </w:r>
      <w:r>
        <w:t>))</w:t>
      </w:r>
      <w:r>
        <w:rPr/>
        <w:t xml:space="preserve"> </w:t>
      </w:r>
      <w:r>
        <w:rPr>
          <w:u w:val="single"/>
        </w:rPr>
        <w:t xml:space="preserve">mercury-containing lights</w:t>
      </w:r>
      <w:r>
        <w:rPr/>
        <w:t xml:space="preserve">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 </w:t>
      </w:r>
      <w:r>
        <w:rPr>
          <w:u w:val="single"/>
        </w:rPr>
        <w:t xml:space="preserve">Product stewardship programs for mercury-containing lights meeting the new requirements of this act must be fully implemented by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w:t>
      </w:r>
      <w:r>
        <w:t>((</w:t>
      </w:r>
      <w:r>
        <w:rPr>
          <w:strike/>
        </w:rPr>
        <w:t xml:space="preserve">June</w:t>
      </w:r>
      <w:r>
        <w:t>))</w:t>
      </w:r>
      <w:r>
        <w:rPr/>
        <w:t xml:space="preserve"> </w:t>
      </w:r>
      <w:r>
        <w:rPr>
          <w:u w:val="single"/>
        </w:rPr>
        <w:t xml:space="preserve">January</w:t>
      </w:r>
      <w:r>
        <w:rPr/>
        <w:t xml:space="preserv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in calendar year 2029 must submit a new or updated plan by January 1, 2028. The new or updated plan under this subsection (1)(b) must address the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current and proposed collection sites to be used by the program, including the latitude and longitude of each collection site</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w:t>
      </w:r>
      <w:r>
        <w:t>((</w:t>
      </w:r>
      <w:r>
        <w:rPr>
          <w:strike/>
        </w:rPr>
        <w:t xml:space="preserve">The</w:t>
      </w:r>
      <w:r>
        <w:t>))</w:t>
      </w:r>
      <w:r>
        <w:rPr/>
        <w:t xml:space="preserve"> </w:t>
      </w:r>
      <w:r>
        <w:rPr>
          <w:u w:val="single"/>
        </w:rPr>
        <w:t xml:space="preserve">Until December 31, 2028, the</w:t>
      </w:r>
      <w:r>
        <w:rPr/>
        <w:t xml:space="preserv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rPr>
          <w:u w:val="single"/>
        </w:rPr>
        <w:t xml:space="preserve">. Beginning January 1, 2029, 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mercury-containing lights in section 19 of this act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mercury-containing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mercury-containing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mercury-containing lights at the collection location and measures that will be taken to protect worker health and safety</w:t>
      </w:r>
      <w:r>
        <w:rPr/>
        <w:t xml:space="preserve">;</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programs operating until December 31, 2028, the</w:t>
      </w:r>
      <w:r>
        <w:rPr/>
        <w:t xml:space="preserv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w:t>
      </w:r>
      <w:r>
        <w:rPr>
          <w:u w:val="single"/>
        </w:rPr>
        <w:t xml:space="preserve">and revenue</w:t>
      </w:r>
      <w:r>
        <w:rPr/>
        <w:t xml:space="preserve"> of the mercury-containing lights product stewardship program, including line item costs for:</w:t>
      </w:r>
    </w:p>
    <w:p>
      <w:pPr>
        <w:spacing w:before="0" w:after="0" w:line="408" w:lineRule="exact"/>
        <w:ind w:left="0" w:right="0" w:firstLine="576"/>
        <w:jc w:val="left"/>
      </w:pPr>
      <w:r>
        <w:rPr/>
        <w:t xml:space="preserve">(i) Program operations</w:t>
      </w:r>
      <w:r>
        <w:rPr>
          <w:u w:val="single"/>
        </w:rPr>
        <w:t xml:space="preserve">, including collection, transportation, and processing</w:t>
      </w:r>
      <w:r>
        <w:rPr/>
        <w:t xml:space="preserve">;</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r>
        <w:t>))</w:t>
      </w:r>
      <w:r>
        <w:rPr/>
        <w:t xml:space="preserve"> </w:t>
      </w:r>
      <w:r>
        <w:rPr>
          <w:u w:val="single"/>
        </w:rPr>
        <w:t xml:space="preserve">a list of all collection sites, including address and latitude and longitude, anticipated to be used by the program in the upcoming year</w:t>
      </w:r>
      <w:r>
        <w:rPr/>
        <w:t xml:space="preserve">.</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January 1, 2025, the stewardship organization must submit:</w:t>
      </w:r>
    </w:p>
    <w:p>
      <w:pPr>
        <w:spacing w:before="0" w:after="0" w:line="408" w:lineRule="exact"/>
        <w:ind w:left="0" w:right="0" w:firstLine="576"/>
        <w:jc w:val="left"/>
      </w:pPr>
      <w:r>
        <w:rPr>
          <w:u w:val="single"/>
        </w:rPr>
        <w:t xml:space="preserve">(a)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(i) Until such time as a new plan is submitted and approved by the department;</w:t>
      </w:r>
    </w:p>
    <w:p>
      <w:pPr>
        <w:spacing w:before="0" w:after="0" w:line="408" w:lineRule="exact"/>
        <w:ind w:left="0" w:right="0" w:firstLine="576"/>
        <w:jc w:val="left"/>
      </w:pPr>
      <w:r>
        <w:rPr>
          <w:u w:val="single"/>
        </w:rPr>
        <w:t xml:space="preserve">(ii)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(iii)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(v) In any other event that the stewardship organization can no longer carry out plan implementation; and</w:t>
      </w:r>
    </w:p>
    <w:p>
      <w:pPr>
        <w:spacing w:before="0" w:after="0" w:line="408" w:lineRule="exact"/>
        <w:ind w:left="0" w:right="0" w:firstLine="576"/>
        <w:jc w:val="left"/>
      </w:pPr>
      <w:r>
        <w:rPr>
          <w:u w:val="single"/>
        </w:rPr>
        <w:t xml:space="preserve">(b)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u w:val="single"/>
        </w:rPr>
        <w:t xml:space="preserve">(i) The rate of mercury-containing light collection for recycling in Washington;</w:t>
      </w:r>
    </w:p>
    <w:p>
      <w:pPr>
        <w:spacing w:before="0" w:after="0" w:line="408" w:lineRule="exact"/>
        <w:ind w:left="0" w:right="0" w:firstLine="576"/>
        <w:jc w:val="left"/>
      </w:pPr>
      <w:r>
        <w:rPr>
          <w:u w:val="single"/>
        </w:rPr>
        <w:t xml:space="preserve">(ii) The level of convenience and access for all residents; and</w:t>
      </w:r>
    </w:p>
    <w:p>
      <w:pPr>
        <w:spacing w:before="0" w:after="0" w:line="408" w:lineRule="exact"/>
        <w:ind w:left="0" w:right="0" w:firstLine="576"/>
        <w:jc w:val="left"/>
      </w:pPr>
      <w:r>
        <w:rPr>
          <w:u w:val="single"/>
        </w:rPr>
        <w:t xml:space="preserve">(iii) Public awareness of the program.</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 </w:t>
      </w:r>
      <w:r>
        <w:t>((</w:t>
      </w:r>
      <w:r>
        <w:rPr>
          <w:strike/>
        </w:rPr>
        <w:t xml:space="preserve">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strike/>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strike/>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strike/>
        </w:rPr>
        <w:t xml:space="preserve">(c) The operational costs of the stewardship organization as described in RCW 70A.505.030(2);</w:t>
      </w:r>
    </w:p>
    <w:p>
      <w:pPr>
        <w:spacing w:before="0" w:after="0" w:line="408" w:lineRule="exact"/>
        <w:ind w:left="0" w:right="0" w:firstLine="576"/>
        <w:jc w:val="left"/>
      </w:pPr>
      <w:r>
        <w:rPr>
          <w:strike/>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strike/>
        </w:rPr>
        <w:t xml:space="preserve">(e) The cost of other stewardship program elements including public outreach.</w:t>
      </w:r>
    </w:p>
    <w:p>
      <w:pPr>
        <w:spacing w:before="0" w:after="0" w:line="408" w:lineRule="exact"/>
        <w:ind w:left="0" w:right="0" w:firstLine="576"/>
        <w:jc w:val="left"/>
      </w:pPr>
      <w:r>
        <w:rPr>
          <w:strike/>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strike/>
        </w:rPr>
        <w:t xml:space="preserve">(3)</w:t>
      </w:r>
      <w:r>
        <w:t>))</w:t>
      </w:r>
      <w:r>
        <w:rPr/>
        <w:t xml:space="preserve"> No sooner than January 1, 2015</w:t>
      </w:r>
      <w:r>
        <w:rPr>
          <w:u w:val="single"/>
        </w:rPr>
        <w:t xml:space="preserve">, and through calendar year 2028 of program implementation</w:t>
      </w:r>
      <w:r>
        <w:rPr/>
        <w:t xml:space="preserve">:</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t>((</w:t>
      </w:r>
      <w:r>
        <w:rPr>
          <w:strike/>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strike/>
        </w:rPr>
        <w:t xml:space="preserve">(5)</w:t>
      </w:r>
      <w:r>
        <w:t>))</w:t>
      </w:r>
      <w:r>
        <w:rPr/>
        <w:t xml:space="preserve"> </w:t>
      </w:r>
      <w:r>
        <w:rPr>
          <w:u w:val="single"/>
        </w:rPr>
        <w:t xml:space="preserve">(2) Until calendar year 2029 of program implementation, a stewardship organization that determines that the funds from the environmental handling charge are not sufficient to sustain the program must obtain any necessary additional funds by assessing charges to participating legacy producers based on the market share of the producer.</w:t>
      </w:r>
    </w:p>
    <w:p>
      <w:pPr>
        <w:spacing w:before="0" w:after="0" w:line="408" w:lineRule="exact"/>
        <w:ind w:left="0" w:right="0" w:firstLine="576"/>
        <w:jc w:val="left"/>
      </w:pPr>
      <w:r>
        <w:rPr>
          <w:u w:val="single"/>
        </w:rPr>
        <w:t xml:space="preserve">(3)(a) Beginning with calendar year 2029 of program implementation, each stewardship organization must develop and implement a system to collect charges from participating legacy producers to cover the costs of plan implementation based on the market share of participating producers using all reasonable means and based on the best available information. A stewardship organization must determine each producer's percentage of market share by:</w:t>
      </w:r>
    </w:p>
    <w:p>
      <w:pPr>
        <w:spacing w:before="0" w:after="0" w:line="408" w:lineRule="exact"/>
        <w:ind w:left="0" w:right="0" w:firstLine="576"/>
        <w:jc w:val="left"/>
      </w:pPr>
      <w:r>
        <w:rPr>
          <w:u w:val="single"/>
        </w:rPr>
        <w:t xml:space="preserve">(i) To the extent data necessary to make such a calculation are available, dividing each legacy producer's total units of mercury-containing lights for which the producer had an obligation under this chapter sold in Washington at any point in time between January 1, 2015, and December 31, 2028, by the sum total of all units of mercury-containing lights sold in or into Washington by all participating legacy producers at any point in time between January 1, 2015, and December 31, 2028; and</w:t>
      </w:r>
    </w:p>
    <w:p>
      <w:pPr>
        <w:spacing w:before="0" w:after="0" w:line="408" w:lineRule="exact"/>
        <w:ind w:left="0" w:right="0" w:firstLine="576"/>
        <w:jc w:val="left"/>
      </w:pPr>
      <w:r>
        <w:rPr>
          <w:u w:val="single"/>
        </w:rPr>
        <w:t xml:space="preserve">(ii) To the extent that data specified in (a)(i) of this subsection are not fully available, extrapolating a reasonable approximation of a manufacturer's market share similar to the calculation specified in (a)(i) of this section based on the data available to the stewardship organization.</w:t>
      </w:r>
    </w:p>
    <w:p>
      <w:pPr>
        <w:spacing w:before="0" w:after="0" w:line="408" w:lineRule="exact"/>
        <w:ind w:left="0" w:right="0" w:firstLine="576"/>
        <w:jc w:val="left"/>
      </w:pPr>
      <w:r>
        <w:rPr>
          <w:u w:val="single"/>
        </w:rPr>
        <w:t xml:space="preserve">(b) To determine the market share of legacy producers, a stewardship organization may:</w:t>
      </w:r>
    </w:p>
    <w:p>
      <w:pPr>
        <w:spacing w:before="0" w:after="0" w:line="408" w:lineRule="exact"/>
        <w:ind w:left="0" w:right="0" w:firstLine="576"/>
        <w:jc w:val="left"/>
      </w:pPr>
      <w:r>
        <w:rPr>
          <w:u w:val="single"/>
        </w:rPr>
        <w:t xml:space="preserve">(i) Require data from legacy producers. A stewardship organization may notify the department if a legacy producer has declined to respond within 90 days to a demand for data by a stewardship organization and the department may demand the information if it is determined to be necessary to calculate the market share of the legacy producer; and</w:t>
      </w:r>
    </w:p>
    <w:p>
      <w:pPr>
        <w:spacing w:before="0" w:after="0" w:line="408" w:lineRule="exact"/>
        <w:ind w:left="0" w:right="0" w:firstLine="576"/>
        <w:jc w:val="left"/>
      </w:pPr>
      <w:r>
        <w:rPr>
          <w:u w:val="single"/>
        </w:rPr>
        <w:t xml:space="preserve">(ii) Use any combination of the following types of data:</w:t>
      </w:r>
    </w:p>
    <w:p>
      <w:pPr>
        <w:spacing w:before="0" w:after="0" w:line="408" w:lineRule="exact"/>
        <w:ind w:left="0" w:right="0" w:firstLine="576"/>
        <w:jc w:val="left"/>
      </w:pPr>
      <w:r>
        <w:rPr>
          <w:u w:val="single"/>
        </w:rPr>
        <w:t xml:space="preserve">(A) Generally available market research data;</w:t>
      </w:r>
    </w:p>
    <w:p>
      <w:pPr>
        <w:spacing w:before="0" w:after="0" w:line="408" w:lineRule="exact"/>
        <w:ind w:left="0" w:right="0" w:firstLine="576"/>
        <w:jc w:val="left"/>
      </w:pPr>
      <w:r>
        <w:rPr>
          <w:u w:val="single"/>
        </w:rPr>
        <w:t xml:space="preserve">(B) Data historically provided by producers or retailers to a stewardship organization or the department under this chapter;</w:t>
      </w:r>
    </w:p>
    <w:p>
      <w:pPr>
        <w:spacing w:before="0" w:after="0" w:line="408" w:lineRule="exact"/>
        <w:ind w:left="0" w:right="0" w:firstLine="576"/>
        <w:jc w:val="left"/>
      </w:pPr>
      <w:r>
        <w:rPr>
          <w:u w:val="single"/>
        </w:rPr>
        <w:t xml:space="preserve">(C) Sales data supplied by producers; and</w:t>
      </w:r>
    </w:p>
    <w:p>
      <w:pPr>
        <w:spacing w:before="0" w:after="0" w:line="408" w:lineRule="exact"/>
        <w:ind w:left="0" w:right="0" w:firstLine="576"/>
        <w:jc w:val="left"/>
      </w:pPr>
      <w:r>
        <w:rPr>
          <w:u w:val="single"/>
        </w:rPr>
        <w:t xml:space="preserve">(D) Sales data provided by retailers.</w:t>
      </w:r>
    </w:p>
    <w:p>
      <w:pPr>
        <w:spacing w:before="0" w:after="0" w:line="408" w:lineRule="exact"/>
        <w:ind w:left="0" w:right="0" w:firstLine="576"/>
        <w:jc w:val="left"/>
      </w:pPr>
      <w:r>
        <w:rPr>
          <w:u w:val="single"/>
        </w:rPr>
        <w:t xml:space="preserve">(c) The amendments to the method of financing the program described in this act must be implemented by a stewardship organization by January 1, 2029.</w:t>
      </w:r>
    </w:p>
    <w:p>
      <w:pPr>
        <w:spacing w:before="0" w:after="0" w:line="408" w:lineRule="exact"/>
        <w:ind w:left="0" w:right="0" w:firstLine="576"/>
        <w:jc w:val="left"/>
      </w:pPr>
      <w:r>
        <w:rPr>
          <w:u w:val="single"/>
        </w:rPr>
        <w:t xml:space="preserve">(4) Beginning with calendar year 2029 of program implementation, each stewardship organization is responsible for all costs of participating mercury-containing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(5)</w:t>
      </w:r>
      <w:r>
        <w:rPr/>
        <w:t xml:space="preserve"> Beginning March 1, 2015, </w:t>
      </w:r>
      <w:r>
        <w:t>((</w:t>
      </w:r>
      <w:r>
        <w:rPr>
          <w:strike/>
        </w:rPr>
        <w:t xml:space="preserve">and each year thereafter,</w:t>
      </w:r>
      <w:r>
        <w:t>))</w:t>
      </w:r>
      <w:r>
        <w:rPr/>
        <w:t xml:space="preserve"> </w:t>
      </w:r>
      <w:r>
        <w:rPr>
          <w:u w:val="single"/>
        </w:rPr>
        <w:t xml:space="preserve">until March 1, 2024,</w:t>
      </w:r>
      <w:r>
        <w:rPr/>
        <w:t xml:space="preserve"> each stewardship organization shall pay to the department an annual fee equivalent to </w:t>
      </w:r>
      <w:r>
        <w:t>((</w:t>
      </w:r>
      <w:r>
        <w:rPr>
          <w:strike/>
        </w:rPr>
        <w:t xml:space="preserve">three thousand dollars</w:t>
      </w:r>
      <w:r>
        <w:t>))</w:t>
      </w:r>
      <w:r>
        <w:rPr/>
        <w:t xml:space="preserve"> </w:t>
      </w:r>
      <w:r>
        <w:rPr>
          <w:u w:val="single"/>
        </w:rPr>
        <w:t xml:space="preserve">$3,000</w:t>
      </w:r>
      <w:r>
        <w:rPr/>
        <w:t xml:space="preserve"> for each participating producer to cover the department's administrative and enforcement costs. </w:t>
      </w:r>
      <w:r>
        <w:rPr>
          <w:u w:val="single"/>
        </w:rPr>
        <w:t xml:space="preserve">Beginning March 1, 2025, each stewardship organization shall pay to the department the annual fee to cover the department's administrative and enforcement costs. The department must apply any remaining annual payment funds from the current year to the annual payment for the coming fiscal year if the collected annual payment exceeds the department's costs for a given year and increase annual payments for the coming fiscal year to cover the department's fees if the collected annual payment was less than the department's costs for a given year.</w:t>
      </w:r>
      <w:r>
        <w:rPr/>
        <w:t xml:space="preserve"> The amount paid under this section must be deposited into the </w:t>
      </w:r>
      <w:r>
        <w:rPr>
          <w:u w:val="single"/>
        </w:rPr>
        <w:t xml:space="preserve">mercury-containing 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mercury-containing lights </w:t>
      </w:r>
      <w:r>
        <w:rPr>
          <w:u w:val="single"/>
        </w:rPr>
        <w:t xml:space="preserve">and materials recovered from mercury-containing lights</w:t>
      </w:r>
      <w:r>
        <w:rPr/>
        <w:t xml:space="preserve">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mercury-containing lights in the state, receives funding through a product stewardship program for mercury-containing lights, and who is not a generator of unwanted mercury-containing lights must:</w:t>
      </w:r>
    </w:p>
    <w:p>
      <w:pPr>
        <w:spacing w:before="0" w:after="0" w:line="408" w:lineRule="exact"/>
        <w:ind w:left="0" w:right="0" w:firstLine="576"/>
        <w:jc w:val="left"/>
      </w:pPr>
      <w:r>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t xml:space="preserve">(d) Use packaging and shipping material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mercury-containing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including the failure by a stewardship organization to achieve performance goals proposed in a plan or the failure by a legacy producer to respond to a requirement for information by a stewardship organization under RCW 70A.505.050,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retailer, or stewardship organization with a written warning for the first violation by the producer, retailer, or stewardship organization of the requirements of this chapter. The written warning must inform a producer, retailer, or stewardship organization that it must participate in an approved plan or otherwise come into compliance with the requirements of this chapter within 30 days of the notice. A producer, retailer, or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or a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mercury-containing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mercury-containing light</w:t>
      </w:r>
      <w:r>
        <w:rPr>
          <w:u w:val="single"/>
        </w:rPr>
        <w:t xml:space="preserve">s</w:t>
      </w:r>
      <w:r>
        <w:rPr/>
        <w:t xml:space="preserve"> is not subject to the provisions of this section when selling used working mercury-containing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mercury-containing 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w:t>
      </w:r>
      <w:r>
        <w:t>((</w:t>
      </w:r>
      <w:r>
        <w:rPr>
          <w:strike/>
        </w:rPr>
        <w:t xml:space="preserve">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strike/>
        </w:rPr>
        <w:t xml:space="preserve">(3)</w:t>
      </w:r>
      <w:r>
        <w:t>))</w:t>
      </w:r>
      <w:r>
        <w:rPr/>
        <w:t xml:space="preserve"> By </w:t>
      </w:r>
      <w:r>
        <w:t>((</w:t>
      </w:r>
      <w:r>
        <w:rPr>
          <w:strike/>
        </w:rPr>
        <w:t xml:space="preserve">December 31, 2010, and annually thereafter until December 31, 2014</w:t>
      </w:r>
      <w:r>
        <w:t>))</w:t>
      </w:r>
      <w:r>
        <w:rPr/>
        <w:t xml:space="preserve"> </w:t>
      </w:r>
      <w:r>
        <w:rPr>
          <w:u w:val="single"/>
        </w:rPr>
        <w:t xml:space="preserve">November 1, 2033</w:t>
      </w:r>
      <w:r>
        <w:rPr/>
        <w:t xml:space="preserve">,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t>((</w:t>
      </w:r>
      <w:r>
        <w:rPr>
          <w:strike/>
        </w:rPr>
        <w:t xml:space="preserve">(4) Beginning October 1, 2014, the</w:t>
      </w:r>
      <w:r>
        <w:t>))</w:t>
      </w:r>
      <w:r>
        <w:rPr/>
        <w:t xml:space="preserve"> </w:t>
      </w:r>
      <w:r>
        <w:rPr>
          <w:u w:val="single"/>
        </w:rPr>
        <w:t xml:space="preserve">(3) 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t>((</w:t>
      </w:r>
      <w:r>
        <w:rPr>
          <w:strike/>
        </w:rPr>
        <w:t xml:space="preserve">(5)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Beginning October 1, 2014, the department shall annually estimate the overall statewide recycling rate for mercury-containing lights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group of producers, stewardship organization preparing, submitting, and implementing a mercury-containing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group of producers,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of mercury-containing lights, and entities in the distribution chain </w:t>
      </w:r>
      <w:r>
        <w:t>((</w:t>
      </w:r>
      <w:r>
        <w:rPr>
          <w:strike/>
        </w:rPr>
        <w:t xml:space="preserve">in determination and implementation of the environmental handling charge authorized by</w:t>
      </w:r>
      <w:r>
        <w:t>))</w:t>
      </w:r>
      <w:r>
        <w:rPr/>
        <w:t xml:space="preserve"> </w:t>
      </w:r>
      <w:r>
        <w:rPr>
          <w:u w:val="single"/>
        </w:rPr>
        <w:t xml:space="preserve">under</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 </w:t>
      </w:r>
      <w:r>
        <w:rPr>
          <w:u w:val="single"/>
        </w:rPr>
        <w:t xml:space="preserve">and to the receipts from charges to participating producers and legacy producers</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The requirements of this chapter cease to apply beginning the earlier of:</w:t>
      </w:r>
    </w:p>
    <w:p>
      <w:pPr>
        <w:spacing w:before="0" w:after="0" w:line="408" w:lineRule="exact"/>
        <w:ind w:left="0" w:right="0" w:firstLine="576"/>
        <w:jc w:val="left"/>
      </w:pPr>
      <w:r>
        <w:rPr/>
        <w:t xml:space="preserve">(1) January 1, 2035; or</w:t>
      </w:r>
    </w:p>
    <w:p>
      <w:pPr>
        <w:spacing w:before="0" w:after="0" w:line="408" w:lineRule="exact"/>
        <w:ind w:left="0" w:right="0" w:firstLine="576"/>
        <w:jc w:val="left"/>
      </w:pPr>
      <w:r>
        <w:rPr/>
        <w:t xml:space="preserve">(2) A date determined by the department, based on the diminishing number of mercury-containing lights collected by the program reaching a de minimis level where the continued expense and environmental cost of implementing the program would result in continued costs that outweigh the benefits of continuing the program, as calculated in a cost-benefit analysis consistent with the requirements of RCW 34.05.328. Unless the department and stewardship organization agree to a different cessation date prior to 2035 without carrying out a cost-benefit analysis, the department must conduct a cost-benefit analysis under this subsection to be completed during calendar year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All persons, residents, government, commercial, industrial, and retail facilities and office buildings must recycle their end-of-life mercury-containing lights.</w:t>
      </w:r>
    </w:p>
    <w:p>
      <w:pPr>
        <w:spacing w:before="0" w:after="0" w:line="408" w:lineRule="exact"/>
        <w:ind w:left="0" w:right="0" w:firstLine="576"/>
        <w:jc w:val="left"/>
      </w:pPr>
      <w:r>
        <w:rPr/>
        <w:t xml:space="preserve">(2) No mercury-containing lights may knowingly be placed in waste containers for disposal at incinerators, waste to energy facilities, or landfills.</w:t>
      </w:r>
    </w:p>
    <w:p>
      <w:pPr>
        <w:spacing w:before="0" w:after="0" w:line="408" w:lineRule="exact"/>
        <w:ind w:left="0" w:right="0" w:firstLine="576"/>
        <w:jc w:val="left"/>
      </w:pPr>
      <w:r>
        <w:rPr/>
        <w:t xml:space="preserve">(3) No mercury-containing lights may knowingly be placed in a container for mixed recyclables unless there is a separate location or compartment for the mercury-containing lights that complies with local government collection standards or guidelines.</w:t>
      </w:r>
    </w:p>
    <w:p>
      <w:pPr>
        <w:spacing w:before="0" w:after="0" w:line="408" w:lineRule="exact"/>
        <w:ind w:left="0" w:right="0" w:firstLine="576"/>
        <w:jc w:val="left"/>
      </w:pPr>
      <w:r>
        <w:rPr/>
        <w:t xml:space="preserve">(4) No owner or operator of a solid waste facility may be found in violation of this section if the facility has posted in a conspicuous location a sign stating that mercury-containing lights must be recycled and are not accepted for disposal.</w:t>
      </w:r>
    </w:p>
    <w:p>
      <w:pPr>
        <w:spacing w:before="0" w:after="0" w:line="408" w:lineRule="exact"/>
        <w:ind w:left="0" w:right="0" w:firstLine="576"/>
        <w:jc w:val="left"/>
      </w:pPr>
      <w:r>
        <w:rPr/>
        <w:t xml:space="preserve">(5) No solid waste collector may be found in violation of this section for mercury-containing lights placed in a disposal container by the generator of the mercury-containing 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are each repealed, effective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 effective January 1, 2036:</w:t>
      </w:r>
    </w:p>
    <w:p>
      <w:pPr>
        <w:spacing w:before="0" w:after="0" w:line="408" w:lineRule="exact"/>
        <w:ind w:left="0" w:right="0" w:firstLine="576"/>
        <w:jc w:val="left"/>
      </w:pPr>
      <w:r>
        <w:t xml:space="preserve">(1) </w:t>
      </w:r>
      <w:r>
        <w:rPr/>
        <w:t xml:space="preserve">RCW </w:t>
      </w:r>
      <w:r>
        <w:t xml:space="preserve">70A</w:t>
      </w:r>
      <w:r>
        <w:rPr/>
        <w:t xml:space="preserve">.</w:t>
      </w:r>
      <w:r>
        <w:t xml:space="preserve">505</w:t>
      </w:r>
      <w:r>
        <w:rPr/>
        <w:t xml:space="preserve">.</w:t>
      </w:r>
      <w:r>
        <w:t xml:space="preserve">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t xml:space="preserve">(2) </w:t>
      </w:r>
      <w:r>
        <w:rPr/>
        <w:t xml:space="preserve">RCW </w:t>
      </w:r>
      <w:r>
        <w:t xml:space="preserve">70A</w:t>
      </w:r>
      <w:r>
        <w:rPr/>
        <w:t xml:space="preserve">.</w:t>
      </w:r>
      <w:r>
        <w:t xml:space="preserve">505</w:t>
      </w:r>
      <w:r>
        <w:rPr/>
        <w:t xml:space="preserve">.</w:t>
      </w:r>
      <w:r>
        <w:t xml:space="preserve">020</w:t>
      </w:r>
      <w:r>
        <w:rPr/>
        <w:t xml:space="preserve"> (Definitions) and 2020 c 20 s 1414;</w:t>
      </w:r>
    </w:p>
    <w:p>
      <w:pPr>
        <w:spacing w:before="0" w:after="0" w:line="408" w:lineRule="exact"/>
        <w:ind w:left="0" w:right="0" w:firstLine="576"/>
        <w:jc w:val="left"/>
      </w:pPr>
      <w:r>
        <w:t xml:space="preserve">(3) </w:t>
      </w:r>
      <w:r>
        <w:rPr/>
        <w:t xml:space="preserve">RCW </w:t>
      </w:r>
      <w:r>
        <w:t xml:space="preserve">70A</w:t>
      </w:r>
      <w:r>
        <w:rPr/>
        <w:t xml:space="preserve">.</w:t>
      </w:r>
      <w:r>
        <w:t xml:space="preserve">505</w:t>
      </w:r>
      <w:r>
        <w:rPr/>
        <w:t xml:space="preserve">.</w:t>
      </w:r>
      <w:r>
        <w:t xml:space="preserve">030</w:t>
      </w:r>
      <w:r>
        <w:rPr/>
        <w:t xml:space="preserve"> (Product stewardship program) and 2020 c 20 s 1415, 2014 c 119 s 3, &amp; 2010 c 130 s 3;</w:t>
      </w:r>
    </w:p>
    <w:p>
      <w:pPr>
        <w:spacing w:before="0" w:after="0" w:line="408" w:lineRule="exact"/>
        <w:ind w:left="0" w:right="0" w:firstLine="576"/>
        <w:jc w:val="left"/>
      </w:pPr>
      <w:r>
        <w:t xml:space="preserve">(4) </w:t>
      </w:r>
      <w:r>
        <w:rPr/>
        <w:t xml:space="preserve">RCW </w:t>
      </w:r>
      <w:r>
        <w:t xml:space="preserve">70A</w:t>
      </w:r>
      <w:r>
        <w:rPr/>
        <w:t xml:space="preserve">.</w:t>
      </w:r>
      <w:r>
        <w:t xml:space="preserve">505</w:t>
      </w:r>
      <w:r>
        <w:rPr/>
        <w:t xml:space="preserve">.</w:t>
      </w:r>
      <w:r>
        <w:t xml:space="preserve">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2020 c 20 s 1416, 2017 c 254 s 2, 2014 c 119 s 4, &amp; 2010 c 130 s 4;</w:t>
      </w:r>
    </w:p>
    <w:p>
      <w:pPr>
        <w:spacing w:before="0" w:after="0" w:line="408" w:lineRule="exact"/>
        <w:ind w:left="0" w:right="0" w:firstLine="576"/>
        <w:jc w:val="left"/>
      </w:pPr>
      <w:r>
        <w:t xml:space="preserve">(5) </w:t>
      </w:r>
      <w:r>
        <w:rPr/>
        <w:t xml:space="preserve">RCW </w:t>
      </w:r>
      <w:r>
        <w:t xml:space="preserve">70A</w:t>
      </w:r>
      <w:r>
        <w:rPr/>
        <w:t xml:space="preserve">.</w:t>
      </w:r>
      <w:r>
        <w:t xml:space="preserve">505</w:t>
      </w:r>
      <w:r>
        <w:rPr/>
        <w:t xml:space="preserve">.</w:t>
      </w:r>
      <w:r>
        <w:t xml:space="preserve">050</w:t>
      </w:r>
      <w:r>
        <w:rPr/>
        <w:t xml:space="preserve"> (Environmental handling charge</w:t>
      </w:r>
      <w:r>
        <w:rPr>
          <w:rFonts w:ascii="Times New Roman" w:hAnsi="Times New Roman"/>
        </w:rPr>
        <w:t xml:space="preserve">—</w:t>
      </w:r>
      <w:r>
        <w:rPr/>
        <w:t xml:space="preserve">Annual fee) and 2020 c 20 s 1417, 2017 c 254 s 1, 2014 c 119 s 5, &amp; 2010 c 130 s 5;</w:t>
      </w:r>
    </w:p>
    <w:p>
      <w:pPr>
        <w:spacing w:before="0" w:after="0" w:line="408" w:lineRule="exact"/>
        <w:ind w:left="0" w:right="0" w:firstLine="576"/>
        <w:jc w:val="left"/>
      </w:pPr>
      <w:r>
        <w:t xml:space="preserve">(6) </w:t>
      </w:r>
      <w:r>
        <w:rPr/>
        <w:t xml:space="preserve">RCW </w:t>
      </w:r>
      <w:r>
        <w:t xml:space="preserve">70A</w:t>
      </w:r>
      <w:r>
        <w:rPr/>
        <w:t xml:space="preserve">.</w:t>
      </w:r>
      <w:r>
        <w:t xml:space="preserve">505</w:t>
      </w:r>
      <w:r>
        <w:rPr/>
        <w:t xml:space="preserve">.</w:t>
      </w:r>
      <w:r>
        <w:t xml:space="preserve">060</w:t>
      </w:r>
      <w:r>
        <w:rPr/>
        <w:t xml:space="preserve"> (Collection and management of mercury) and 2010 c 130 s 6;</w:t>
      </w:r>
    </w:p>
    <w:p>
      <w:pPr>
        <w:spacing w:before="0" w:after="0" w:line="408" w:lineRule="exact"/>
        <w:ind w:left="0" w:right="0" w:firstLine="576"/>
        <w:jc w:val="left"/>
      </w:pPr>
      <w:r>
        <w:t xml:space="preserve">(7) </w:t>
      </w:r>
      <w:r>
        <w:rPr/>
        <w:t xml:space="preserve">RCW </w:t>
      </w:r>
      <w:r>
        <w:t xml:space="preserve">70A</w:t>
      </w:r>
      <w:r>
        <w:rPr/>
        <w:t xml:space="preserve">.</w:t>
      </w:r>
      <w:r>
        <w:t xml:space="preserve">505</w:t>
      </w:r>
      <w:r>
        <w:rPr/>
        <w:t xml:space="preserve">.</w:t>
      </w:r>
      <w:r>
        <w:t xml:space="preserve">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t xml:space="preserve">(8) </w:t>
      </w:r>
      <w:r>
        <w:rPr/>
        <w:t xml:space="preserve">RCW </w:t>
      </w:r>
      <w:r>
        <w:t xml:space="preserve">70A</w:t>
      </w:r>
      <w:r>
        <w:rPr/>
        <w:t xml:space="preserve">.</w:t>
      </w:r>
      <w:r>
        <w:t xml:space="preserve">505</w:t>
      </w:r>
      <w:r>
        <w:rPr/>
        <w:t xml:space="preserve">.</w:t>
      </w:r>
      <w:r>
        <w:t xml:space="preserve">080</w:t>
      </w:r>
      <w:r>
        <w:rPr/>
        <w:t xml:space="preserve"> (Requirement to recycle end-of-life mercury-containing lights) and 2010 c 130 s 8;</w:t>
      </w:r>
    </w:p>
    <w:p>
      <w:pPr>
        <w:spacing w:before="0" w:after="0" w:line="408" w:lineRule="exact"/>
        <w:ind w:left="0" w:right="0" w:firstLine="576"/>
        <w:jc w:val="left"/>
      </w:pPr>
      <w:r>
        <w:t xml:space="preserve">(9)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w:t>
      </w:r>
    </w:p>
    <w:p>
      <w:pPr>
        <w:spacing w:before="0" w:after="0" w:line="408" w:lineRule="exact"/>
        <w:ind w:left="0" w:right="0" w:firstLine="576"/>
        <w:jc w:val="left"/>
      </w:pPr>
      <w:r>
        <w:t xml:space="preserve">(10) </w:t>
      </w:r>
      <w:r>
        <w:rPr/>
        <w:t xml:space="preserve">RCW </w:t>
      </w:r>
      <w:r>
        <w:t xml:space="preserve">70A</w:t>
      </w:r>
      <w:r>
        <w:rPr/>
        <w:t xml:space="preserve">.</w:t>
      </w:r>
      <w:r>
        <w:t xml:space="preserve">505</w:t>
      </w:r>
      <w:r>
        <w:rPr/>
        <w:t xml:space="preserve">.</w:t>
      </w:r>
      <w:r>
        <w:t xml:space="preserve">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t xml:space="preserve">(11) </w:t>
      </w:r>
      <w:r>
        <w:rPr/>
        <w:t xml:space="preserve">RCW </w:t>
      </w:r>
      <w:r>
        <w:t xml:space="preserve">70A</w:t>
      </w:r>
      <w:r>
        <w:rPr/>
        <w:t xml:space="preserve">.</w:t>
      </w:r>
      <w:r>
        <w:t xml:space="preserve">505</w:t>
      </w:r>
      <w:r>
        <w:rPr/>
        <w:t xml:space="preserve">.</w:t>
      </w:r>
      <w:r>
        <w:t xml:space="preserve">110</w:t>
      </w:r>
      <w:r>
        <w:rPr/>
        <w:t xml:space="preserve"> (Department's website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t xml:space="preserve">(12) </w:t>
      </w:r>
      <w:r>
        <w:rPr/>
        <w:t xml:space="preserve">RCW </w:t>
      </w:r>
      <w:r>
        <w:t xml:space="preserve">70A</w:t>
      </w:r>
      <w:r>
        <w:rPr/>
        <w:t xml:space="preserve">.</w:t>
      </w:r>
      <w:r>
        <w:t xml:space="preserve">505</w:t>
      </w:r>
      <w:r>
        <w:rPr/>
        <w:t xml:space="preserve">.</w:t>
      </w:r>
      <w:r>
        <w:t xml:space="preserve">120</w:t>
      </w:r>
      <w:r>
        <w:rPr/>
        <w:t xml:space="preserve"> (Product stewardship programs account</w:t>
      </w:r>
      <w:r>
        <w:rPr>
          <w:rFonts w:ascii="Times New Roman" w:hAnsi="Times New Roman"/>
        </w:rPr>
        <w:t xml:space="preserve">—</w:t>
      </w:r>
      <w:r>
        <w:rPr/>
        <w:t xml:space="preserve">Refund of fees) and 2017 c 254 s 3 &amp; 2010 c 130 s 13;</w:t>
      </w:r>
    </w:p>
    <w:p>
      <w:pPr>
        <w:spacing w:before="0" w:after="0" w:line="408" w:lineRule="exact"/>
        <w:ind w:left="0" w:right="0" w:firstLine="576"/>
        <w:jc w:val="left"/>
      </w:pPr>
      <w:r>
        <w:t xml:space="preserve">(13) </w:t>
      </w:r>
      <w:r>
        <w:rPr/>
        <w:t xml:space="preserve">RCW </w:t>
      </w:r>
      <w:r>
        <w:t xml:space="preserve">70A</w:t>
      </w:r>
      <w:r>
        <w:rPr/>
        <w:t xml:space="preserve">.</w:t>
      </w:r>
      <w:r>
        <w:t xml:space="preserve">505</w:t>
      </w:r>
      <w:r>
        <w:rPr/>
        <w:t xml:space="preserve">.</w:t>
      </w:r>
      <w:r>
        <w:t xml:space="preserve">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t xml:space="preserve">(14) </w:t>
      </w:r>
      <w:r>
        <w:rPr/>
        <w:t xml:space="preserve">RCW </w:t>
      </w:r>
      <w:r>
        <w:t xml:space="preserve">70A</w:t>
      </w:r>
      <w:r>
        <w:rPr/>
        <w:t xml:space="preserve">.</w:t>
      </w:r>
      <w:r>
        <w:t xml:space="preserve">505</w:t>
      </w:r>
      <w:r>
        <w:rPr/>
        <w:t xml:space="preserve">.</w:t>
      </w:r>
      <w:r>
        <w:t xml:space="preserve">140</w:t>
      </w:r>
      <w:r>
        <w:rPr/>
        <w:t xml:space="preserve"> (Application of chapter to the Washington utilities and transportation commission) and 2010 c 130 s 15;</w:t>
      </w:r>
    </w:p>
    <w:p>
      <w:pPr>
        <w:spacing w:before="0" w:after="0" w:line="408" w:lineRule="exact"/>
        <w:ind w:left="0" w:right="0" w:firstLine="576"/>
        <w:jc w:val="left"/>
      </w:pPr>
      <w:r>
        <w:t xml:space="preserve">(15) </w:t>
      </w:r>
      <w:r>
        <w:rPr/>
        <w:t xml:space="preserve">RCW </w:t>
      </w:r>
      <w:r>
        <w:t xml:space="preserve">70A</w:t>
      </w:r>
      <w:r>
        <w:rPr/>
        <w:t xml:space="preserve">.</w:t>
      </w:r>
      <w:r>
        <w:t xml:space="preserve">505</w:t>
      </w:r>
      <w:r>
        <w:rPr/>
        <w:t xml:space="preserve">.</w:t>
      </w:r>
      <w:r>
        <w:t xml:space="preserve">150</w:t>
      </w:r>
      <w:r>
        <w:rPr/>
        <w:t xml:space="preserve"> (Application of chapter to entities regulated under chapter 70A.300 RCW) and 2020 c 20 s 1418 &amp; 2010 c 130 s 16;</w:t>
      </w:r>
    </w:p>
    <w:p>
      <w:pPr>
        <w:spacing w:before="0" w:after="0" w:line="408" w:lineRule="exact"/>
        <w:ind w:left="0" w:right="0" w:firstLine="576"/>
        <w:jc w:val="left"/>
      </w:pPr>
      <w:r>
        <w:t xml:space="preserve">(16) </w:t>
      </w:r>
      <w:r>
        <w:rPr/>
        <w:t xml:space="preserve">RCW </w:t>
      </w:r>
      <w:r>
        <w:t xml:space="preserve">70A</w:t>
      </w:r>
      <w:r>
        <w:rPr/>
        <w:t xml:space="preserve">.</w:t>
      </w:r>
      <w:r>
        <w:t xml:space="preserve">505</w:t>
      </w:r>
      <w:r>
        <w:rPr/>
        <w:t xml:space="preserve">.</w:t>
      </w:r>
      <w:r>
        <w:t xml:space="preserve">160</w:t>
      </w:r>
      <w:r>
        <w:rPr/>
        <w:t xml:space="preserve"> (Immunity from antitrust liability) and 2014 c 119 s 6;</w:t>
      </w:r>
    </w:p>
    <w:p>
      <w:pPr>
        <w:spacing w:before="0" w:after="0" w:line="408" w:lineRule="exact"/>
        <w:ind w:left="0" w:right="0" w:firstLine="576"/>
        <w:jc w:val="left"/>
      </w:pPr>
      <w:r>
        <w:t xml:space="preserve">(17) </w:t>
      </w:r>
      <w:r>
        <w:rPr/>
        <w:t xml:space="preserve">RCW </w:t>
      </w:r>
      <w:r>
        <w:t xml:space="preserve">70A</w:t>
      </w:r>
      <w:r>
        <w:rPr/>
        <w:t xml:space="preserve">.</w:t>
      </w:r>
      <w:r>
        <w:t xml:space="preserve">505</w:t>
      </w:r>
      <w:r>
        <w:rPr/>
        <w:t xml:space="preserve">.</w:t>
      </w:r>
      <w:r>
        <w:t xml:space="preserve">900</w:t>
      </w:r>
      <w:r>
        <w:rPr/>
        <w:t xml:space="preserve"> (Chapter liberally construed) and 2010 c 130 s 17; and</w:t>
      </w:r>
    </w:p>
    <w:p>
      <w:pPr>
        <w:spacing w:before="0" w:after="0" w:line="408" w:lineRule="exact"/>
        <w:ind w:left="0" w:right="0" w:firstLine="576"/>
        <w:jc w:val="left"/>
      </w:pPr>
      <w:r>
        <w:t xml:space="preserve">(18) </w:t>
      </w:r>
      <w:r>
        <w:rPr/>
        <w:t xml:space="preserve">RCW </w:t>
      </w:r>
      <w:r>
        <w:t xml:space="preserve">70A</w:t>
      </w:r>
      <w:r>
        <w:rPr/>
        <w:t xml:space="preserve">.</w:t>
      </w:r>
      <w:r>
        <w:t xml:space="preserve">505</w:t>
      </w:r>
      <w:r>
        <w:rPr/>
        <w:t xml:space="preserve">.</w:t>
      </w:r>
      <w:r>
        <w:t xml:space="preserve">901</w:t>
      </w:r>
      <w:r>
        <w:rPr/>
        <w:t xml:space="preserve"> (Severability</w:t>
      </w:r>
      <w:r>
        <w:rPr>
          <w:rFonts w:ascii="Times New Roman" w:hAnsi="Times New Roman"/>
        </w:rPr>
        <w:t xml:space="preserve">—</w:t>
      </w:r>
      <w:r>
        <w:rPr/>
        <w:t xml:space="preserve">2010 c 130) and 2010 c 130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1185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03/01/2024</w:t>
      </w:r>
    </w:p>
    <w:p>
      <w:pPr>
        <w:spacing w:before="0" w:after="0" w:line="408" w:lineRule="exact"/>
        <w:ind w:left="0" w:right="0" w:firstLine="576"/>
        <w:jc w:val="left"/>
      </w:pPr>
      <w:r>
        <w:rPr/>
        <w:t xml:space="preserve">On page 1, line 2 of the title, after "products;" strike the remainder of the title and insert "amending RCW 70A.230.020, 70A.505.010, 70A.505.020, 70A.505.030, 70A.505.040, 70A.505.050, 70A.505.060, 70A.505.070, 70A.505.100, 70A.505.110, 70A.505.120, 70A.505.130, 70A.505.160, 82.04.660, and 70A.230.080; reenacting and amending RCW 43.21B.110; adding a new section to chapter 70A.505 RCW; adding a new section to chapter 70A.230 RCW; repealing RCW 70A.505.090, 43.131.421, 43.131.422, 70A.230.150, 70A.505.010, 70A.505.020, 70A.505.030, 70A.505.040, 70A.505.050, 70A.505.060, 70A.505.070, 70A.505.080, 70A.505.090, 70A.505.100, 70A.505.110, 70A.505.120, 70A.505.130, 70A.505.140, 70A.505.150, 70A.505.160, 70A.505.900, and 70A.505.901; prescribing penalties; and providing effective dates."</w:t>
      </w:r>
    </w:p>
    <w:p>
      <w:pPr>
        <w:spacing w:before="0" w:after="0" w:line="408" w:lineRule="exact"/>
        <w:ind w:left="0" w:right="0" w:firstLine="576"/>
        <w:jc w:val="left"/>
      </w:pPr>
      <w:r>
        <w:rPr>
          <w:u w:val="single"/>
        </w:rPr>
        <w:t xml:space="preserve">EFFECT:</w:t>
      </w:r>
      <w:r>
        <w:rPr/>
        <w:t xml:space="preserve"> (1) Increases the daily maximum quantity of pin-based compact or linear fluorescent lamps that may be provided to a collection site to 15 from 10.</w:t>
      </w:r>
    </w:p>
    <w:p>
      <w:pPr>
        <w:spacing w:before="0" w:after="0" w:line="408" w:lineRule="exact"/>
        <w:ind w:left="0" w:right="0" w:firstLine="576"/>
        <w:jc w:val="left"/>
      </w:pPr>
      <w:r>
        <w:rPr/>
        <w:t xml:space="preserve">(2) Conditions the department of ecology's (ecology) ability to amend the convenience standards for mercury-containing light (MCL) collection in certain cities and counties on the annual collection of fewer than 500 MCLs and where the amendment would not remove collection opportunities for people living in a rural county or an overburdened community.</w:t>
      </w:r>
    </w:p>
    <w:p>
      <w:pPr>
        <w:spacing w:before="0" w:after="0" w:line="408" w:lineRule="exact"/>
        <w:ind w:left="0" w:right="0" w:firstLine="576"/>
        <w:jc w:val="left"/>
      </w:pPr>
      <w:r>
        <w:rPr/>
        <w:t xml:space="preserve">(3) Requires ecology to report to the legislature on the status of the program and recommendations for changes on November 1, 2033, rather than November 1, 2029, and December 31, 2035.</w:t>
      </w:r>
    </w:p>
    <w:p>
      <w:pPr>
        <w:spacing w:before="0" w:after="0" w:line="408" w:lineRule="exact"/>
        <w:ind w:left="0" w:right="0" w:firstLine="576"/>
        <w:jc w:val="left"/>
      </w:pPr>
      <w:r>
        <w:rPr/>
        <w:t xml:space="preserve">(4) Clarifies that the state business and occupation tax exemption applies to stewardship organization receipts from charges to legacy producers in addition to participating producers.</w:t>
      </w:r>
    </w:p>
    <w:p>
      <w:pPr>
        <w:spacing w:before="0" w:after="0" w:line="408" w:lineRule="exact"/>
        <w:ind w:left="0" w:right="0" w:firstLine="576"/>
        <w:jc w:val="left"/>
      </w:pPr>
      <w:r>
        <w:rPr/>
        <w:t xml:space="preserve">(5) Provides that the program expires on January 1, 2035, or an earlier date determined by ecology based on a specified cost-benefit analysis rather than January 1, 2039, and requires ecology to conduct a cost-benefit analysis in calendar year 2031 rather than 2032 and 2036.</w:t>
      </w:r>
    </w:p>
    <w:p>
      <w:pPr>
        <w:spacing w:before="0" w:after="0" w:line="408" w:lineRule="exact"/>
        <w:ind w:left="0" w:right="0" w:firstLine="576"/>
        <w:jc w:val="left"/>
      </w:pPr>
      <w:r>
        <w:rPr/>
        <w:t xml:space="preserve">(6) Makes other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4010796d54e24" /></Relationships>
</file>