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c832d746f41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S3142.2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13, after "</w:t>
      </w:r>
      <w:r>
        <w:rPr>
          <w:u w:val="single"/>
        </w:rPr>
        <w:t xml:space="preserve">action, the</w:t>
      </w:r>
      <w:r>
        <w:rPr/>
        <w:t xml:space="preserve">" strike all material through "</w:t>
      </w:r>
      <w:r>
        <w:rPr>
          <w:u w:val="single"/>
        </w:rPr>
        <w:t xml:space="preserve">member</w:t>
      </w:r>
      <w:r>
        <w:rPr/>
        <w:t xml:space="preserve">" on line 18 and insert "</w:t>
      </w:r>
      <w:r>
        <w:rPr>
          <w:u w:val="single"/>
        </w:rPr>
        <w:t xml:space="preserve">privilege is deemed waived if the employee identifies the union representative as a witness. Such a waiver shall not be construed to waive privilege on behalf of other nonparty employees represented by the union without those employees' consent, and a court may review such issues in camera to determine the treatment of such communications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testimonial privilege is waived if an employee is a party to a civil or criminal action and the employee identifies the employee's union representative as a witness. Provides that waiver of testimonial privilege for a party employee is not a waiver of privilege on behalf of nonparty employees represented by the union. Allows a court to review issues related to nonparty employee communications in private to determine how such communications should be treated.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853330041462b" /></Relationships>
</file>