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8fdbe72344b78"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PEDE</w:t>
        </w:r>
      </w:r>
      <w:r>
        <w:rPr>
          <w:b/>
        </w:rPr>
        <w:t xml:space="preserve"> </w:t>
        <w:r>
          <w:rPr/>
          <w:t xml:space="preserve">S3342.2</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445</w:t>
      </w:r>
    </w:p>
    <w:p>
      <w:pPr>
        <w:spacing w:before="0" w:after="0" w:line="408" w:lineRule="exact"/>
        <w:ind w:left="0" w:right="0" w:firstLine="576"/>
        <w:jc w:val="left"/>
      </w:pPr>
      <w:r>
        <w:rPr/>
        <w:t xml:space="preserve">By Senator Pedersen</w:t>
      </w:r>
    </w:p>
    <w:p>
      <w:pPr>
        <w:jc w:val="right"/>
      </w:pPr>
      <w:r>
        <w:rPr>
          <w:b/>
        </w:rPr>
        <w:t xml:space="preserve">ADOPTED 04/18/2023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t>
      </w:r>
      <w:r>
        <w:rPr>
          <w:u w:val="single"/>
        </w:rPr>
        <w:t xml:space="preserve">or assault weapon</w:t>
      </w:r>
      <w:r>
        <w:rPr/>
        <w:t xml:space="preserve"> when departing from, and returning to, Washington state, so long as the individual is returning to Washington in possession of the same large capacity magazine </w:t>
      </w:r>
      <w:r>
        <w:rPr>
          <w:u w:val="single"/>
        </w:rPr>
        <w:t xml:space="preserve">or assault weapon</w:t>
      </w:r>
      <w:r>
        <w:rPr/>
        <w:t xml:space="preserv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w:t>
      </w:r>
    </w:p>
    <w:p>
      <w:pPr>
        <w:spacing w:before="0" w:after="0" w:line="408" w:lineRule="exact"/>
        <w:ind w:left="0" w:right="0" w:firstLine="576"/>
        <w:jc w:val="left"/>
      </w:pPr>
      <w:r>
        <w:rPr/>
        <w:t xml:space="preserve">(d) The out-of-state sale or transfer of the existing stock of assault weapons owned by a licensed dealer that was acquired prior to January 1, 2023, for the limited period of 90 days after the effective date of this section; or</w:t>
      </w:r>
    </w:p>
    <w:p>
      <w:pPr>
        <w:spacing w:before="0" w:after="0" w:line="408" w:lineRule="exact"/>
        <w:ind w:left="0" w:right="0" w:firstLine="576"/>
        <w:jc w:val="left"/>
      </w:pPr>
      <w:r>
        <w:rPr/>
        <w:t xml:space="preserve">(e)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(2)(e) is not "distribution" under this chapter. A person who legally receives an assault weapon under this subsection (2)(e)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445</w:t>
      </w:r>
    </w:p>
    <w:p>
      <w:pPr>
        <w:spacing w:before="0" w:after="0" w:line="408" w:lineRule="exact"/>
        <w:ind w:left="0" w:right="0" w:firstLine="576"/>
        <w:jc w:val="left"/>
      </w:pPr>
      <w:r>
        <w:rPr/>
        <w:t xml:space="preserve">By Senator Pedersen</w:t>
      </w:r>
    </w:p>
    <w:p>
      <w:pPr>
        <w:jc w:val="right"/>
      </w:pPr>
      <w:r>
        <w:rPr>
          <w:b/>
        </w:rPr>
        <w:t xml:space="preserve">ADOPTED 04/18/2023</w:t>
      </w:r>
    </w:p>
    <w:p>
      <w:pPr>
        <w:spacing w:before="0" w:after="0" w:line="408" w:lineRule="exact"/>
        <w:ind w:left="0" w:right="0" w:firstLine="576"/>
        <w:jc w:val="left"/>
      </w:pPr>
      <w:r>
        <w:rPr/>
        <w:t xml:space="preserve">On page 1, line 7 of the title, after "inheritors;" strike the remainder of the title and insert "reenacting and amending RCW 9.41.010; adding new sections to chapter 9.41 RCW; creating a new section; prescribing penalties; and declaring an emergency."</w:t>
      </w:r>
    </w:p>
    <w:p>
      <w:pPr>
        <w:spacing w:before="0" w:after="0" w:line="408" w:lineRule="exact"/>
        <w:ind w:left="0" w:right="0" w:firstLine="576"/>
        <w:jc w:val="left"/>
      </w:pPr>
      <w:r>
        <w:rPr>
          <w:u w:val="single"/>
        </w:rPr>
        <w:t xml:space="preserve">EFFECT:</w:t>
      </w:r>
      <w:r>
        <w:rPr/>
        <w:t xml:space="preserve"> Modifies the definition of "import" to exclude situations where an individual possesses an assault weapon when departing and returning to Washington state with the same assault weapon.</w:t>
      </w:r>
    </w:p>
    <w:p>
      <w:pPr>
        <w:spacing w:before="0" w:after="0" w:line="408" w:lineRule="exact"/>
        <w:ind w:left="0" w:right="0" w:firstLine="576"/>
        <w:jc w:val="left"/>
      </w:pPr>
      <w:r>
        <w:rPr/>
        <w:t xml:space="preserve">Clarifies an existing exception to the bill by allowing firearms dealers to sell or transfer their existing stock of assault weapons that were acquired prior to January 1, 2023, to outside of the state for the limited period of 90 days after the effective date of this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99ddd3bb8a43cd" /></Relationships>
</file>