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676c404e86480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1240-S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S2786.1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1240</w:t>
      </w:r>
      <w:r>
        <w:t xml:space="preserve"> -</w:t>
      </w:r>
      <w:r>
        <w:t xml:space="preserve"> </w:t>
        <w:t xml:space="preserve">S AMD TO LAW COMM AMD (S-2726.1/23)</w:t>
      </w:r>
      <w:r>
        <w:t xml:space="preserve"> </w:t>
      </w:r>
      <w:r>
        <w:rPr>
          <w:b/>
        </w:rPr>
        <w:t xml:space="preserve">364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NOT ADOPTED 04/08/2023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32, after "</w:t>
      </w:r>
      <w:r>
        <w:rPr>
          <w:u w:val="single"/>
        </w:rPr>
        <w:t xml:space="preserve">firearm</w:t>
      </w:r>
      <w:r>
        <w:rPr/>
        <w:t xml:space="preserve">" insert "</w:t>
      </w:r>
      <w:r>
        <w:rPr>
          <w:u w:val="single"/>
        </w:rPr>
        <w:t xml:space="preserve">. This subsection does not apply to any sound suppressor, silencer, or item designed to reduce the visual or audio signature of the firearm possessed in compliance with federal law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exceptions for suppressors possessed in compliance with federal law.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a248028bb44da9" /></Relationships>
</file>