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f5d678c2b43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1453-S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S5686.1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1453</w:t>
      </w:r>
      <w:r>
        <w:t xml:space="preserve"> -</w:t>
      </w:r>
      <w:r>
        <w:t xml:space="preserve"> </w:t>
        <w:t xml:space="preserve">S AMD TO WM COMM AMD (S-5517.1/24)</w:t>
      </w:r>
      <w:r>
        <w:t xml:space="preserve"> </w:t>
      </w:r>
      <w:r>
        <w:rPr>
          <w:b/>
        </w:rPr>
        <w:t xml:space="preserve">869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rPr>
          <w:u w:val="single"/>
        </w:rPr>
        <w:t xml:space="preserve">Until</w:t>
      </w:r>
      <w:r>
        <w:rPr/>
        <w:t xml:space="preserve">" strike "</w:t>
      </w:r>
      <w:r>
        <w:rPr>
          <w:u w:val="single"/>
        </w:rPr>
        <w:t xml:space="preserve">January 1, 2034</w:t>
      </w:r>
      <w:r>
        <w:rPr/>
        <w:t xml:space="preserve">" and insert "</w:t>
      </w:r>
      <w:r>
        <w:rPr>
          <w:u w:val="single"/>
        </w:rPr>
        <w:t xml:space="preserve">June 30, 2029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12, strike "an initial" and insert "a"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13, strike "2029" and insert "2028"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cannabis excise tax exemption for medical cannabis patients and designated providers on June 30, 2029, rather than January 1, 2034; and requires the joint legislative audit and review committee to submit a final report to the legislature by December 1, 2028, rather than an initial report by December 1, 2029.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45d1081224494" /></Relationships>
</file>