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ee063524d44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S5408.2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MacEwen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"loads" strike "that are served with fossil fuels"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35, after "</w:t>
      </w:r>
      <w:r>
        <w:rPr>
          <w:u w:val="single"/>
        </w:rPr>
        <w:t xml:space="preserve">filing.</w:t>
      </w:r>
      <w:r>
        <w:rPr/>
        <w:t xml:space="preserve">" insert "</w:t>
      </w:r>
      <w:r>
        <w:rPr>
          <w:u w:val="single"/>
        </w:rPr>
        <w:t xml:space="preserve">A large combination utility is prohibited from transitioning a customer to nonemitting energy if that customer currently receives gas service or has a local, state, or federal development permit to extend gas service pending on the effective date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large combination utility from transitioning a customer to nonemitting energy if that customer is currently receiving gas service or has permit pending for extending gas service when the act takes effect.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bae9e98a34b1d" /></Relationships>
</file>