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2ceef672a4c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S5409.1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22, after "efficient" strike ", nonemitting"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35, after "</w:t>
      </w:r>
      <w:r>
        <w:rPr>
          <w:u w:val="single"/>
        </w:rPr>
        <w:t xml:space="preserve">filing.</w:t>
      </w:r>
      <w:r>
        <w:rPr/>
        <w:t xml:space="preserve">" insert "</w:t>
      </w:r>
      <w:r>
        <w:rPr>
          <w:u w:val="single"/>
        </w:rPr>
        <w:t xml:space="preserve">A large combination utility must pay for any costs a residential, commercial, or industrial gas customer incurs as a result of the large combination utility's transition from gas service to nonemitting energy, including transitions related to geographically targeted electrification.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large combination utility to pay for any costs a residential, commercial, or industrial gas customer incurs as a result of transitioning from gas to nonemitting energy resources.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a48ca5a3c4e05" /></Relationships>
</file>