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a7dae5c304d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TORR</w:t>
        </w:r>
      </w:r>
      <w:r>
        <w:rPr>
          <w:b/>
        </w:rPr>
        <w:t xml:space="preserve"> </w:t>
        <w:r>
          <w:rPr/>
          <w:t xml:space="preserve">S5414.1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39, strike "transformational"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Before a large combination utility may discontinue gas service for a current customer, the commission shall ensure that the large combination utility provides adequate notice of the discontinuance of service to any customer who is part of a vulnerable population or for whom English is not their primary language.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utilities and transportation commission to ensure that large combination utilities provide adequate notice of discontinuance of gas service to any customer who is part of a vulnerable population or for whom English is not their primary language.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8454b323c4e63" /></Relationships>
</file>