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ea061d8c0426d" /></Relationships>
</file>

<file path=word/document.xml><?xml version="1.0" encoding="utf-8"?>
<w:document xmlns:w="http://schemas.openxmlformats.org/wordprocessingml/2006/main">
  <w:body>
    <w:p>
      <w:r>
        <w:rPr>
          <w:b/>
        </w:rPr>
        <w:r>
          <w:rPr/>
          <w:t xml:space="preserve">1833-S</w:t>
        </w:r>
      </w:r>
      <w:r>
        <w:rPr>
          <w:b/>
        </w:rPr>
        <w:t xml:space="preserve"> </w:t>
        <w:t xml:space="preserve">AMS</w:t>
      </w:r>
      <w:r>
        <w:rPr>
          <w:b/>
        </w:rPr>
        <w:t xml:space="preserve"> </w:t>
        <w:r>
          <w:rPr/>
          <w:t xml:space="preserve">TRAN</w:t>
        </w:r>
      </w:r>
      <w:r>
        <w:rPr>
          <w:b/>
        </w:rPr>
        <w:t xml:space="preserve"> </w:t>
        <w:r>
          <w:rPr/>
          <w:t xml:space="preserve">S2987.1</w:t>
        </w:r>
      </w:r>
      <w:r>
        <w:rPr>
          <w:b/>
        </w:rPr>
        <w:t xml:space="preserve"> - NOT FOR FLOOR USE</w:t>
      </w:r>
    </w:p>
    <w:p>
      <w:pPr>
        <w:ind w:left="0" w:right="0" w:firstLine="576"/>
      </w:pPr>
    </w:p>
    <w:p>
      <w:pPr>
        <w:spacing w:before="480" w:after="0" w:line="408" w:lineRule="exact"/>
      </w:pPr>
      <w:r>
        <w:rPr>
          <w:b/>
          <w:u w:val="single"/>
        </w:rPr>
        <w:t xml:space="preserve">SHB 1833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(11)(a) During the annual legislative appropriations deliberations, the legislature reviews and approves funding for the cost of ferry fuel, as estimated based on the most current forecasts of fuel prices and gallons of fuel that will be consumed to provide ferry service. The commission may impose a fuel surcharge if not enough fuel funding was provided in the enacted omnibus transportation appropriations act, but the surcharge may not go into effect until after the ensuing regular legislative session</w:t>
      </w:r>
      <w:r>
        <w:rPr>
          <w:u w:val="single"/>
        </w:rPr>
        <w:t xml:space="preserve">.</w:t>
      </w:r>
    </w:p>
    <w:p>
      <w:pPr>
        <w:spacing w:before="0" w:after="0" w:line="408" w:lineRule="exact"/>
        <w:ind w:left="0" w:right="0" w:firstLine="576"/>
        <w:jc w:val="left"/>
      </w:pPr>
      <w:r>
        <w:rPr>
          <w:u w:val="single"/>
        </w:rPr>
        <w:t xml:space="preserve">(b) If a fuel surcharge is imposed, as authorized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1833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05/17/2023</w:t>
      </w:r>
    </w:p>
    <w:p>
      <w:pPr>
        <w:spacing w:before="0" w:after="0" w:line="408" w:lineRule="exact"/>
        <w:ind w:left="0" w:right="0" w:firstLine="576"/>
        <w:jc w:val="left"/>
      </w:pPr>
      <w:r>
        <w:rPr/>
        <w:t xml:space="preserve">On page 1, line 1 of the title, after "surcharges;" strike the remainder of the title and insert "amending RCW 47.60.315; and declaring an emergency."</w:t>
      </w:r>
    </w:p>
    <w:p>
      <w:pPr>
        <w:spacing w:before="0" w:after="0" w:line="408" w:lineRule="exact"/>
        <w:ind w:left="0" w:right="0" w:firstLine="576"/>
        <w:jc w:val="left"/>
      </w:pPr>
      <w:r>
        <w:rPr>
          <w:u w:val="single"/>
        </w:rPr>
        <w:t xml:space="preserve">EFFECT:</w:t>
      </w:r>
      <w:r>
        <w:rPr/>
        <w:t xml:space="preserve"> Allows the Commission to enact a surcharge if not enough funding is provided for fuel in an enacted budget, but the surcharge would not be imposed until after the ensuing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4710a01fa44c0" /></Relationships>
</file>