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3138cac184b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S5559.1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2131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10, after "interest." strike all material through "classes." on line 12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the utilities and transportation commission must avoid commercial and residential rate classes subsidizing industrial rate classes when approving a merger of a gas and thermal energy rate base for a natural gas company or combination utility.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5aaafaf6d4af0" /></Relationships>
</file>