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8c296232c45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S5603.2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PULLED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7, insert "</w:t>
      </w:r>
      <w:r>
        <w:rPr>
          <w:u w:val="single"/>
        </w:rPr>
        <w:t xml:space="preserve">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(2) Only a county with a population exceeding 2,000,000 may impose the additional regular property tax authorized under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Restricts the county hospital levy to a county with a population exceeding two million.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626e9c5624c3b" /></Relationships>
</file>