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4e2b6faa74440" /></Relationships>
</file>

<file path=word/document.xml><?xml version="1.0" encoding="utf-8"?>
<w:document xmlns:w="http://schemas.openxmlformats.org/wordprocessingml/2006/main">
  <w:body>
    <w:p>
      <w:r>
        <w:rPr>
          <w:b/>
        </w:rPr>
        <w:r>
          <w:rPr/>
          <w:t xml:space="preserve">5032</w:t>
        </w:r>
      </w:r>
      <w:r>
        <w:rPr>
          <w:b/>
        </w:rPr>
        <w:t xml:space="preserve"> </w:t>
        <w:t xml:space="preserve">AMS</w:t>
      </w:r>
      <w:r>
        <w:rPr>
          <w:b/>
        </w:rPr>
        <w:t xml:space="preserve"> </w:t>
        <w:r>
          <w:rPr/>
          <w:t xml:space="preserve">PADD</w:t>
        </w:r>
      </w:r>
      <w:r>
        <w:rPr>
          <w:b/>
        </w:rPr>
        <w:t xml:space="preserve"> </w:t>
        <w:r>
          <w:rPr/>
          <w:t xml:space="preserve">S4419.2</w:t>
        </w:r>
      </w:r>
      <w:r>
        <w:rPr>
          <w:b/>
        </w:rPr>
        <w:t xml:space="preserve"> - NOT FOR FLOOR USE</w:t>
      </w:r>
    </w:p>
    <w:p>
      <w:pPr>
        <w:ind w:left="0" w:right="0" w:firstLine="576"/>
      </w:pPr>
    </w:p>
    <w:p>
      <w:pPr>
        <w:spacing w:before="480" w:after="0" w:line="408" w:lineRule="exact"/>
      </w:pPr>
      <w:r>
        <w:rPr>
          <w:b/>
          <w:u w:val="single"/>
        </w:rPr>
        <w:t xml:space="preserve">SB 5032</w:t>
      </w:r>
      <w:r>
        <w:t xml:space="preserve"> -</w:t>
      </w:r>
      <w:r>
        <w:t xml:space="preserve"> </w:t>
        <w:t xml:space="preserve">S AMD</w:t>
      </w:r>
      <w:r>
        <w:t xml:space="preserve"> </w:t>
      </w:r>
      <w:r>
        <w:rPr>
          <w:b/>
        </w:rPr>
        <w:t xml:space="preserve">516</w:t>
      </w:r>
    </w:p>
    <w:p>
      <w:pPr>
        <w:spacing w:before="0" w:after="0" w:line="408" w:lineRule="exact"/>
        <w:ind w:left="0" w:right="0" w:firstLine="576"/>
        <w:jc w:val="left"/>
      </w:pPr>
      <w:r>
        <w:rPr/>
        <w:t xml:space="preserve">By Senator Padden</w:t>
      </w:r>
    </w:p>
    <w:p>
      <w:pPr>
        <w:jc w:val="right"/>
      </w:pPr>
      <w:r>
        <w:rPr>
          <w:b/>
        </w:rPr>
        <w:t xml:space="preserve">ADOPTED 02/01/2024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cannabis,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w:t>
      </w:r>
      <w:r>
        <w:rPr>
          <w:u w:val="single"/>
        </w:rPr>
        <w:t xml:space="preserve">"Drug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0" w:after="0" w:line="408" w:lineRule="exact"/>
        <w:ind w:left="0" w:right="0" w:firstLine="576"/>
        <w:jc w:val="left"/>
      </w:pP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2023 c 415 s 2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(1)(a)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prior adult convictions and prior juvenile adjudications.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Neither out-of-state or federal convictions which would have been presumptively adjudicated in juvenile court under Washington law may be included in the offender score unless they are comparable to murder in the first or second degree or a class A felony sex offense.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convictions or adjudications served concurrently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violent felony conviction and juvenile violent felony conviction which is scorable under subsection (1)(b) of this section, and one point for each prior adult nonviolent felony conviction.</w:t>
      </w:r>
    </w:p>
    <w:p>
      <w:pPr>
        <w:spacing w:before="0" w:after="0" w:line="408" w:lineRule="exact"/>
        <w:ind w:left="0" w:right="0" w:firstLine="576"/>
        <w:jc w:val="left"/>
      </w:pPr>
      <w:r>
        <w:rPr/>
        <w:t xml:space="preserve">(9) If the present conviction is for a serious violent offense, count three points for prior adult convictions and juvenile convictions which are scorable under subsection (1)(b) of this section for crimes in this category, two points for each prior adult and scorable juvenile violent conviction (not already counted), and one point for each prior adult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Burglary 2 or residential burglary conviction.</w:t>
      </w:r>
    </w:p>
    <w:p>
      <w:pPr>
        <w:spacing w:before="0" w:after="0" w:line="408" w:lineRule="exact"/>
        <w:ind w:left="0" w:right="0" w:firstLine="576"/>
        <w:jc w:val="left"/>
      </w:pPr>
      <w:r>
        <w:rPr/>
        <w:t xml:space="preserve">(11) If the present conviction is for a felony traffic offense count two points for each prior conviction for Vehicular Homicide or Vehicular Assault; for each felony offense count one point for each adult prior conviction and 1/2 point for each juvenile prior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 count one point for each adult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prior conviction for homicide by watercraft or assault by watercraft; for each felony offense count one point for each adult prior conviction and 1/2 point for each juvenile prior conviction which would be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If the present conviction is for a drug offense and the offender has a criminal history that includes a sex offense or serious violent offense, count three points for each adult prior felony drug offense conviction. All other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prior Burglary 1 conviction, and two points for each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prior sex offense conviction and juvenile prior class A felony sex offense adjudication.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prior sex offense conviction and juvenile prior sex offense conviction which is scorable under subsection (1)(b) of this section, excluding adult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w:t>
      </w:r>
      <w:r>
        <w:t>((</w:t>
      </w:r>
      <w:r>
        <w:rPr>
          <w:strike/>
        </w:rPr>
        <w:t xml:space="preserve">ten</w:t>
      </w:r>
      <w:r>
        <w:t>))</w:t>
      </w:r>
      <w:r>
        <w:rPr/>
        <w:t xml:space="preserve"> </w:t>
      </w:r>
      <w:r>
        <w:rPr>
          <w:u w:val="single"/>
        </w:rPr>
        <w:t xml:space="preserve">10</w:t>
      </w:r>
      <w:r>
        <w:rPr/>
        <w:t xml:space="preserve">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w:t>
      </w:r>
      <w:r>
        <w:t>((</w:t>
      </w:r>
      <w:r>
        <w:rPr>
          <w:strike/>
        </w:rPr>
        <w:t xml:space="preserve">ten</w:t>
      </w:r>
      <w:r>
        <w:t>))</w:t>
      </w:r>
      <w:r>
        <w:rPr/>
        <w:t xml:space="preserve"> </w:t>
      </w:r>
      <w:r>
        <w:rPr>
          <w:u w:val="single"/>
        </w:rPr>
        <w:t xml:space="preserve">10</w:t>
      </w:r>
      <w:r>
        <w:rPr/>
        <w:t xml:space="preserve">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w:t>
      </w:r>
      <w:r>
        <w:t>((</w:t>
      </w:r>
      <w:r>
        <w:rPr>
          <w:strike/>
        </w:rPr>
        <w:t xml:space="preserve">twenty-six</w:t>
      </w:r>
      <w:r>
        <w:t>))</w:t>
      </w:r>
      <w:r>
        <w:rPr/>
        <w:t xml:space="preserve"> </w:t>
      </w:r>
      <w:r>
        <w:rPr>
          <w:u w:val="single"/>
        </w:rPr>
        <w:t xml:space="preserve">26</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w:t>
      </w:r>
      <w:r>
        <w:t>((</w:t>
      </w:r>
      <w:r>
        <w:rPr>
          <w:strike/>
        </w:rPr>
        <w:t xml:space="preserve">thirty dollars</w:t>
      </w:r>
      <w:r>
        <w:t>))</w:t>
      </w:r>
      <w:r>
        <w:rPr/>
        <w:t xml:space="preserve"> </w:t>
      </w:r>
      <w:r>
        <w:rPr>
          <w:u w:val="single"/>
        </w:rPr>
        <w:t xml:space="preserve">$30</w:t>
      </w:r>
      <w:r>
        <w:rPr/>
        <w:t xml:space="preserve">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w:t>
      </w:r>
      <w:r>
        <w:t>((</w:t>
      </w:r>
      <w:r>
        <w:rPr>
          <w:strike/>
        </w:rPr>
        <w:t xml:space="preserve">fifty</w:t>
      </w:r>
      <w:r>
        <w:t>))</w:t>
      </w:r>
      <w:r>
        <w:rPr/>
        <w:t xml:space="preserve"> </w:t>
      </w:r>
      <w:r>
        <w:rPr>
          <w:u w:val="single"/>
        </w:rPr>
        <w:t xml:space="preserve">50</w:t>
      </w:r>
      <w:r>
        <w:rPr/>
        <w:t xml:space="preserve">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w:t>
      </w:r>
      <w:r>
        <w:t>((</w:t>
      </w:r>
      <w:r>
        <w:rPr>
          <w:strike/>
        </w:rPr>
        <w:t xml:space="preserve">eighteen</w:t>
      </w:r>
      <w:r>
        <w:t>))</w:t>
      </w:r>
      <w:r>
        <w:rPr/>
        <w:t xml:space="preserve"> </w:t>
      </w:r>
      <w:r>
        <w:rPr>
          <w:u w:val="single"/>
        </w:rPr>
        <w:t xml:space="preserve">18</w:t>
      </w:r>
      <w:r>
        <w:rPr/>
        <w:t xml:space="preserve">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has no other prior convictions defined as a "prior offense" under RCW 46.61.5055</w:t>
      </w:r>
      <w:r>
        <w:rPr/>
        <w:t xml:space="preserve">. </w:t>
      </w:r>
      <w:r>
        <w:rPr>
          <w:u w:val="single"/>
        </w:rPr>
        <w:t xml:space="preserve">The person's first deferred prosecution shall not be considered a prior offense for the purpose of granting a second deferred prosecution.</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2023 c 102 s 17 are each amended to read as follows:</w:t>
      </w:r>
    </w:p>
    <w:p>
      <w:pPr>
        <w:spacing w:before="0" w:after="0" w:line="408" w:lineRule="exact"/>
        <w:ind w:left="0" w:right="0" w:firstLine="576"/>
        <w:jc w:val="left"/>
      </w:pPr>
      <w:r>
        <w:rPr/>
        <w:t xml:space="preserve">The arraigning judge upon consideration of the petition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the petitioner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w:t>
      </w:r>
      <w:r>
        <w:t>((</w:t>
      </w:r>
      <w:r>
        <w:rPr>
          <w:strike/>
        </w:rPr>
        <w:t xml:space="preserve">thirty</w:t>
      </w:r>
      <w:r>
        <w:t>))</w:t>
      </w:r>
      <w:r>
        <w:rPr/>
        <w:t xml:space="preserve"> </w:t>
      </w:r>
      <w:r>
        <w:rPr>
          <w:u w:val="single"/>
        </w:rPr>
        <w:t xml:space="preserve">30</w:t>
      </w:r>
      <w:r>
        <w:rPr/>
        <w:t xml:space="preserve"> days after notice is given of the requirement for license surrender.</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SB 5032</w:t>
      </w:r>
      <w:r>
        <w:t xml:space="preserve"> -</w:t>
      </w:r>
      <w:r>
        <w:t xml:space="preserve"> </w:t>
        <w:t xml:space="preserve">S AMD</w:t>
      </w:r>
      <w:r>
        <w:t xml:space="preserve"> </w:t>
      </w:r>
      <w:r>
        <w:rPr>
          <w:b/>
        </w:rPr>
        <w:t xml:space="preserve">516</w:t>
      </w:r>
    </w:p>
    <w:p>
      <w:pPr>
        <w:spacing w:before="0" w:after="0" w:line="408" w:lineRule="exact"/>
        <w:ind w:left="0" w:right="0" w:firstLine="576"/>
        <w:jc w:val="left"/>
      </w:pPr>
      <w:r>
        <w:rPr/>
        <w:t xml:space="preserve">By Senator Padden</w:t>
      </w:r>
    </w:p>
    <w:p>
      <w:pPr>
        <w:jc w:val="right"/>
      </w:pPr>
      <w:r>
        <w:rPr>
          <w:b/>
        </w:rPr>
        <w:t xml:space="preserve">ADOPTED 02/01/2024</w:t>
      </w:r>
    </w:p>
    <w:p>
      <w:pPr>
        <w:spacing w:before="0" w:after="0" w:line="408" w:lineRule="exact"/>
        <w:ind w:left="0" w:right="0" w:firstLine="576"/>
        <w:jc w:val="left"/>
      </w:pPr>
      <w:r>
        <w:rPr/>
        <w:t xml:space="preserve">On page 1, line 1 of the title, after "Relating to" strike the remainder of the title and insert "impaired driving; amending RCW 9.94A.030, 9.94A.190, 9.94A.501, 9.94A.505, 9.94A.525, 9.94A.633, 9.94A.6332, 9.94A.660, 9.94A.701, 10.05.010, 10.05.015, 10.05.020, 10.05.030, 10.05.040, 10.05.050, 10.05.060, 10.05.090, 10.05.100, 10.05.120, 10.05.140, 10.05.150, 10.05.155, 10.05.170, 46.20.355, 46.20.385, 46.20.720, 46.20.740, 46.61.502, 46.61.5055, and 46.61.504; adding a new section to chapter 9.94A RCW; adding a new section to chapter 10.05 RCW; providing an effective date; and prescribing penalties."</w:t>
      </w:r>
    </w:p>
    <w:p>
      <w:pPr>
        <w:spacing w:before="0" w:after="0" w:line="408" w:lineRule="exact"/>
        <w:ind w:left="0" w:right="0" w:firstLine="576"/>
        <w:jc w:val="left"/>
      </w:pPr>
      <w:r>
        <w:rPr>
          <w:u w:val="single"/>
        </w:rPr>
        <w:t xml:space="preserve">EFFECT:</w:t>
      </w:r>
      <w:r>
        <w:rPr/>
        <w:t xml:space="preserve"> (1) Permits a person who participates in a deferred prosecution for a first gross misdemeanor Driving Under the Influence (DUI) or Physical Control of a Vehicle Under the Influence (PC) charge to participate in a second deferred prosecution on a person's next DUI or PC charge if the person has no other prior convictions defined as prior offenses, or while under the court's jurisdiction for a first deferred prosecution if the first deferred prosecution is revoked. Excepts a first deferred prosecution from counting as a prior offense for the purpose of granting a second deferred prosecution. Modifies requirements for participation in a deferred prosecution depending on the nature of the petitioner's underlying problem. Provides that a second deferred prosecution for a DUI or PC offense counts as one point on a defendant's offender score.</w:t>
      </w:r>
    </w:p>
    <w:p>
      <w:pPr>
        <w:spacing w:before="0" w:after="0" w:line="408" w:lineRule="exact"/>
        <w:ind w:left="0" w:right="0" w:firstLine="576"/>
        <w:jc w:val="left"/>
      </w:pPr>
      <w:r>
        <w:rPr/>
        <w:t xml:space="preserve">(2) Amends the definition of serious traffic offense to include negligent driving and reckless endangerment. Modifies provisions relating to ignition interlock licenses addressing probation violations. Modifies provisions relating to ignition interlock device restrictions addressing physical disability waivers, self-employed drivers, and prior offenses.</w:t>
      </w:r>
    </w:p>
    <w:p>
      <w:pPr>
        <w:spacing w:before="0" w:after="0" w:line="408" w:lineRule="exact"/>
        <w:ind w:left="0" w:right="0" w:firstLine="576"/>
        <w:jc w:val="left"/>
      </w:pPr>
      <w:r>
        <w:rPr/>
        <w:t xml:space="preserve">(3) Changes the effective date to January 1, 2025.</w:t>
      </w:r>
    </w:p>
    <w:p>
      <w:pPr>
        <w:spacing w:before="0" w:after="0" w:line="408" w:lineRule="exact"/>
        <w:ind w:left="0" w:right="0" w:firstLine="576"/>
        <w:jc w:val="left"/>
      </w:pPr>
      <w:r>
        <w:rPr/>
        <w:t xml:space="preserve">(4) Updates statutory language to reflect changes enacted during the 2023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89b2d557874bb6" /></Relationships>
</file>