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4e7bb19f9401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5080-S2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S1925.1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5080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PULLED 02/28/2023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37, after "</w:t>
      </w:r>
      <w:r>
        <w:rPr>
          <w:u w:val="single"/>
        </w:rPr>
        <w:t xml:space="preserve">subsection.</w:t>
      </w:r>
      <w:r>
        <w:rPr/>
        <w:t xml:space="preserve">" insert "</w:t>
      </w:r>
      <w:r>
        <w:rPr>
          <w:u w:val="single"/>
        </w:rPr>
        <w:t xml:space="preserve">The board may only issue cannabis producer licenses under this subsection when federal law allows for the interstate transfer of cannabis between authorized cannabis-related businesses or when the United States department of justice issues an opinion or memorandum allowing or tolerating the interstate transfer of cannabis between authorized cannabis-related businesses.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Conditions the Liquor and Cannabis Board's ability to issue certain inactive cannabis producer licenses on specified federal actions relating to the interstate transfer of cannabis occurring.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1340f77784dfc" /></Relationships>
</file>