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402a066c34471"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SHOR</w:t>
        </w:r>
      </w:r>
      <w:r>
        <w:rPr>
          <w:b/>
        </w:rPr>
        <w:t xml:space="preserve"> </w:t>
        <w:r>
          <w:rPr/>
          <w:t xml:space="preserve">S2009.1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104</w:t>
      </w:r>
    </w:p>
    <w:p>
      <w:pPr>
        <w:spacing w:before="0" w:after="0" w:line="408" w:lineRule="exact"/>
        <w:ind w:left="0" w:right="0" w:firstLine="576"/>
        <w:jc w:val="left"/>
      </w:pPr>
      <w:r>
        <w:rPr/>
        <w:t xml:space="preserve">By Senator Short</w:t>
      </w:r>
    </w:p>
    <w:p>
      <w:pPr>
        <w:jc w:val="right"/>
      </w:pPr>
      <w:r>
        <w:rPr>
          <w:b/>
        </w:rPr>
        <w:t xml:space="preserve">NOT ADOPTED 03/01/2023</w:t>
      </w:r>
    </w:p>
    <w:p>
      <w:pPr>
        <w:spacing w:before="0" w:after="0" w:line="408" w:lineRule="exact"/>
        <w:ind w:left="0" w:right="0" w:firstLine="576"/>
        <w:jc w:val="left"/>
      </w:pPr>
      <w:r>
        <w:rPr/>
        <w:t xml:space="preserve">On page 5, line 17, after "(4)" insert "Upon the department adopting a rule for industry or risk classification, specific rules related to preventing musculoskeletal injuries and disorders, the rule by the department does not take effect until after the adjournment of the regular legislative session immediately following the adoption of the rule-making order (CR-103P), in order to allow an opportunity for the legislature to add to, limit, or otherwise amend the final rule on musculoskeletal injuries and disorders.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Rules related to musculoskeletal injuries and disorders do not take effect until after the adjournment of the regular legislative session immediately following the adoption of the rule-making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01c0b550d427e" /></Relationships>
</file>