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7ed800adb84303" /></Relationships>
</file>

<file path=word/document.xml><?xml version="1.0" encoding="utf-8"?>
<w:document xmlns:w="http://schemas.openxmlformats.org/wordprocessingml/2006/main">
  <w:body>
    <w:p>
      <w:r>
        <w:rPr>
          <w:b/>
        </w:rPr>
        <w:r>
          <w:rPr/>
          <w:t xml:space="preserve">5241</w:t>
        </w:r>
      </w:r>
      <w:r>
        <w:rPr>
          <w:b/>
        </w:rPr>
        <w:t xml:space="preserve"> </w:t>
        <w:t xml:space="preserve">AMS</w:t>
      </w:r>
      <w:r>
        <w:rPr>
          <w:b/>
        </w:rPr>
        <w:t xml:space="preserve"> </w:t>
        <w:r>
          <w:rPr/>
          <w:t xml:space="preserve">BOEH</w:t>
        </w:r>
      </w:r>
      <w:r>
        <w:rPr>
          <w:b/>
        </w:rPr>
        <w:t xml:space="preserve"> </w:t>
        <w:r>
          <w:rPr/>
          <w:t xml:space="preserve">S4922.1</w:t>
        </w:r>
      </w:r>
      <w:r>
        <w:rPr>
          <w:b/>
        </w:rPr>
        <w:t xml:space="preserve"> - NOT FOR FLOOR USE</w:t>
      </w:r>
    </w:p>
    <w:p>
      <w:pPr>
        <w:ind w:left="0" w:right="0" w:firstLine="576"/>
      </w:pPr>
    </w:p>
    <w:p>
      <w:pPr>
        <w:spacing w:before="480" w:after="0" w:line="408" w:lineRule="exact"/>
      </w:pPr>
      <w:r>
        <w:rPr>
          <w:b/>
          <w:u w:val="single"/>
        </w:rPr>
        <w:t xml:space="preserve">SB 5241</w:t>
      </w:r>
      <w:r>
        <w:t xml:space="preserve"> -</w:t>
      </w:r>
      <w:r>
        <w:t xml:space="preserve"> </w:t>
        <w:t xml:space="preserve">S AMD TO S AMD (S-4880.1/24)</w:t>
      </w:r>
      <w:r>
        <w:t xml:space="preserve"> </w:t>
      </w:r>
      <w:r>
        <w:rPr>
          <w:b/>
        </w:rPr>
        <w:t xml:space="preserve">612</w:t>
      </w:r>
    </w:p>
    <w:p>
      <w:pPr>
        <w:spacing w:before="0" w:after="0" w:line="408" w:lineRule="exact"/>
        <w:ind w:left="0" w:right="0" w:firstLine="576"/>
        <w:jc w:val="left"/>
      </w:pPr>
      <w:r>
        <w:rPr/>
        <w:t xml:space="preserve">By Senator Boehnke</w:t>
      </w:r>
    </w:p>
    <w:p>
      <w:pPr>
        <w:jc w:val="right"/>
      </w:pPr>
      <w:r>
        <w:rPr>
          <w:b/>
        </w:rPr>
        <w:t xml:space="preserve">NOT ADOPTED 02/08/2024</w:t>
      </w:r>
    </w:p>
    <w:p>
      <w:pPr>
        <w:spacing w:before="0" w:after="0" w:line="408" w:lineRule="exact"/>
        <w:ind w:left="0" w:right="0" w:firstLine="576"/>
        <w:jc w:val="left"/>
      </w:pPr>
      <w:r>
        <w:rPr/>
        <w:t xml:space="preserve">On page 22, beginning on line 6, strike all of subsections (2) and (3) and insert the following:</w:t>
      </w:r>
    </w:p>
    <w:p>
      <w:pPr>
        <w:spacing w:before="0" w:after="0" w:line="408" w:lineRule="exact"/>
        <w:ind w:left="0" w:right="0" w:firstLine="576"/>
        <w:jc w:val="left"/>
      </w:pPr>
      <w:r>
        <w:rPr/>
        <w:t xml:space="preserve">"(2)(a) For material change transactions limited to the preliminary review under section 10 of this act or reviewed under the emergency review process pursuant to RCW 19.390.040(4), for at least three years, the attorney general shall monitor the parties' and any successor persons' ongoing compliance with this chapter.</w:t>
      </w:r>
    </w:p>
    <w:p>
      <w:pPr>
        <w:spacing w:before="0" w:after="0" w:line="408" w:lineRule="exact"/>
        <w:ind w:left="0" w:right="0" w:firstLine="576"/>
        <w:jc w:val="left"/>
      </w:pPr>
      <w:r>
        <w:rPr/>
        <w:t xml:space="preserve">(b) For material change transactions subject to comprehensive review, for at least six years, the attorney general shall monitor the parties' and any successor persons' ongoing compliance with this chapter.</w:t>
      </w:r>
    </w:p>
    <w:p>
      <w:pPr>
        <w:spacing w:before="0" w:after="0" w:line="408" w:lineRule="exact"/>
        <w:ind w:left="0" w:right="0" w:firstLine="576"/>
        <w:jc w:val="left"/>
      </w:pPr>
      <w:r>
        <w:rPr/>
        <w:t xml:space="preserve">(3)(a) For material change transactions limited to the preliminary review under section 10 of this act or reviewed under the emergency review process pursuant to RCW 19.390.040(4), the attorney general shall, for three years, require annual reports from the parties to the material change transaction or any successor persons to ensure compliance with section 9 of this act and any conditions or modifications the attorney general imposed on the material change transaction. The attorney general may request information and documents and conduct on-site compliance audits.</w:t>
      </w:r>
    </w:p>
    <w:p>
      <w:pPr>
        <w:spacing w:before="0" w:after="0" w:line="408" w:lineRule="exact"/>
        <w:ind w:left="0" w:right="0" w:firstLine="576"/>
        <w:jc w:val="left"/>
      </w:pPr>
      <w:r>
        <w:rPr/>
        <w:t xml:space="preserve">(b) For material change transactions subject to comprehensive review, the attorney general shall, for six years, require annual reports from the parties to the material change transaction or any successor persons to ensure compliance with section 9 of this act and any conditions or modifications the attorney general imposed on the material change transaction. The attorney general may request information and documents and conduct on-site compliance audits."</w:t>
      </w:r>
    </w:p>
    <w:p>
      <w:pPr>
        <w:spacing w:before="0" w:after="0" w:line="408" w:lineRule="exact"/>
        <w:ind w:left="0" w:right="0" w:firstLine="576"/>
        <w:jc w:val="left"/>
      </w:pPr>
      <w:r>
        <w:rPr/>
        <w:t xml:space="preserve">On page 23, beginning on line 6, strike all of subsection (9) and insert the following:</w:t>
      </w:r>
    </w:p>
    <w:p>
      <w:pPr>
        <w:spacing w:before="0" w:after="0" w:line="408" w:lineRule="exact"/>
        <w:ind w:left="0" w:right="0" w:firstLine="576"/>
        <w:jc w:val="left"/>
      </w:pPr>
      <w:r>
        <w:rPr/>
        <w:t xml:space="preserve">"(9) The attorney general may bill the parties or successor persons and the parties or successor billed by the attorney general shall promptly pay. If the parties or successor fail to pay within 60 days, the attorney general may assess a civil fine of a rate of one percent of the delinquent amount per month the party does not pay."</w:t>
      </w:r>
    </w:p>
    <w:p>
      <w:pPr>
        <w:spacing w:before="0" w:after="0" w:line="408" w:lineRule="exact"/>
        <w:ind w:left="0" w:right="0" w:firstLine="576"/>
        <w:jc w:val="left"/>
      </w:pPr>
      <w:r>
        <w:rPr>
          <w:u w:val="single"/>
        </w:rPr>
        <w:t xml:space="preserve">EFFECT:</w:t>
      </w:r>
      <w:r>
        <w:rPr/>
        <w:t xml:space="preserve"> Clarifies and shortens the length of the review period for material change transactions. For transactions subject to preliminary and emergency review, provide three years of oversight. For transactions subject to comprehensive review, provide 6 years of oversight.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69115fe3584bf7" /></Relationships>
</file>