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c3c75ec3e4efe"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FORT</w:t>
        </w:r>
      </w:r>
      <w:r>
        <w:rPr>
          <w:b/>
        </w:rPr>
        <w:t xml:space="preserve"> </w:t>
        <w:r>
          <w:rPr/>
          <w:t xml:space="preserve">S4656.2</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606</w:t>
      </w:r>
    </w:p>
    <w:p>
      <w:pPr>
        <w:spacing w:before="0" w:after="0" w:line="408" w:lineRule="exact"/>
        <w:ind w:left="0" w:right="0" w:firstLine="576"/>
        <w:jc w:val="left"/>
      </w:pPr>
      <w:r>
        <w:rPr/>
        <w:t xml:space="preserve">By Senator Fortunato</w:t>
      </w:r>
    </w:p>
    <w:p>
      <w:pPr>
        <w:jc w:val="right"/>
      </w:pPr>
      <w:r>
        <w:rPr>
          <w:b/>
        </w:rPr>
        <w:t xml:space="preserve">NOT ADOPTED 02/08/2024</w:t>
      </w:r>
    </w:p>
    <w:p>
      <w:pPr>
        <w:spacing w:before="0" w:after="0" w:line="408" w:lineRule="exact"/>
        <w:ind w:left="0" w:right="0" w:firstLine="576"/>
        <w:jc w:val="left"/>
      </w:pPr>
      <w:r>
        <w:rPr/>
        <w:t xml:space="preserve">On page 23, after line 2, strike all of subsections (8) and (9) </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Removes the ability for the attorney general to seek and receive reimbursement for all actual and direct costs incurred in monitoring ongoing compliance for 10 years, including contract and administrative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4c3e6c2e664c5d" /></Relationships>
</file>