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48bb200b8419a"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KUDE</w:t>
        </w:r>
      </w:r>
      <w:r>
        <w:rPr>
          <w:b/>
        </w:rPr>
        <w:t xml:space="preserve"> </w:t>
        <w:r>
          <w:rPr/>
          <w:t xml:space="preserve">S4913.1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573</w:t>
      </w:r>
    </w:p>
    <w:p>
      <w:pPr>
        <w:spacing w:before="0" w:after="0" w:line="408" w:lineRule="exact"/>
        <w:ind w:left="0" w:right="0" w:firstLine="576"/>
        <w:jc w:val="left"/>
      </w:pPr>
      <w:r>
        <w:rPr/>
        <w:t xml:space="preserve">By Senator Kuderer</w:t>
      </w:r>
    </w:p>
    <w:p>
      <w:pPr>
        <w:jc w:val="right"/>
      </w:pPr>
      <w:r>
        <w:rPr>
          <w:b/>
        </w:rPr>
        <w:t xml:space="preserve">ADOPTED 02/08/2024</w:t>
      </w:r>
    </w:p>
    <w:p>
      <w:pPr>
        <w:spacing w:before="0" w:after="0" w:line="408" w:lineRule="exact"/>
        <w:ind w:left="0" w:right="0" w:firstLine="576"/>
        <w:jc w:val="left"/>
      </w:pPr>
      <w:r>
        <w:rPr/>
        <w:t xml:space="preserve">On page 5, beginning on line 6, strike all of section 4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w:t>
      </w:r>
      <w:r>
        <w:t>))</w:t>
      </w:r>
      <w:r>
        <w:rPr/>
        <w:t xml:space="preserve"> </w:t>
      </w:r>
      <w:r>
        <w:rPr>
          <w:u w:val="single"/>
        </w:rPr>
        <w:t xml:space="preserve">:</w:t>
      </w:r>
    </w:p>
    <w:p>
      <w:pPr>
        <w:spacing w:before="0" w:after="0" w:line="408" w:lineRule="exact"/>
        <w:ind w:left="0" w:right="0" w:firstLine="576"/>
        <w:jc w:val="left"/>
      </w:pPr>
      <w:r>
        <w:rPr>
          <w:u w:val="single"/>
        </w:rPr>
        <w:t xml:space="preserve">(a) Between</w:t>
      </w:r>
      <w:r>
        <w:rPr/>
        <w:t xml:space="preserve"> two or more </w:t>
      </w:r>
      <w:r>
        <w:t>((</w:t>
      </w:r>
      <w:r>
        <w:rPr>
          <w:strike/>
        </w:rPr>
        <w:t xml:space="preserve">entities</w:t>
      </w:r>
      <w:r>
        <w:t>))</w:t>
      </w:r>
      <w:r>
        <w:rPr/>
        <w:t xml:space="preserve"> of the following </w:t>
      </w:r>
      <w:r>
        <w:t>((</w:t>
      </w:r>
      <w:r>
        <w:rPr>
          <w:strike/>
        </w:rPr>
        <w:t xml:space="preserve">types</w:t>
      </w:r>
      <w:r>
        <w:t>))</w:t>
      </w:r>
      <w:r>
        <w:rPr/>
        <w:t xml:space="preserve"> </w:t>
      </w:r>
      <w:r>
        <w:rPr>
          <w:u w:val="single"/>
        </w:rPr>
        <w:t xml:space="preserve">entities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Provider organizations</w:t>
      </w:r>
      <w:r>
        <w:rPr>
          <w:u w:val="single"/>
        </w:rPr>
        <w:t xml:space="preserve">; or</w:t>
      </w:r>
    </w:p>
    <w:p>
      <w:pPr>
        <w:spacing w:before="0" w:after="0" w:line="408" w:lineRule="exact"/>
        <w:ind w:left="0" w:right="0" w:firstLine="576"/>
        <w:jc w:val="left"/>
      </w:pPr>
      <w:r>
        <w:rPr>
          <w:u w:val="single"/>
        </w:rPr>
        <w:t xml:space="preserve">(b) Between the following entities:</w:t>
      </w:r>
    </w:p>
    <w:p>
      <w:pPr>
        <w:spacing w:before="0" w:after="0" w:line="408" w:lineRule="exact"/>
        <w:ind w:left="0" w:right="0" w:firstLine="576"/>
        <w:jc w:val="left"/>
      </w:pPr>
      <w:r>
        <w:rPr>
          <w:u w:val="single"/>
        </w:rPr>
        <w:t xml:space="preserve">(i) An entity described in (a) of this subsection and a carrier or an insurance holding company system, as defined in RCW 48.31B.005; or</w:t>
      </w:r>
    </w:p>
    <w:p>
      <w:pPr>
        <w:spacing w:before="0" w:after="0" w:line="408" w:lineRule="exact"/>
        <w:ind w:left="0" w:right="0" w:firstLine="576"/>
        <w:jc w:val="left"/>
      </w:pPr>
      <w:r>
        <w:rPr>
          <w:u w:val="single"/>
        </w:rPr>
        <w:t xml:space="preserve">(ii) An entity described in (a) of this subsection and any other person or entity that has as its primary function the provision of health care services or that is a parent organization of, has control over, or governance of, an entity that has as its primary function the provision of health care services</w:t>
      </w:r>
      <w:r>
        <w:rPr/>
        <w:t xml:space="preserve">.</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t>((</w:t>
      </w:r>
      <w:r>
        <w:rPr>
          <w:strike/>
        </w:rPr>
        <w:t xml:space="preserve">a Washington entity and an out-of-state entity where the out-of-state entity generates ten million dollars or more in health care services revenue from patients residing in Washington state, and the entities are of the types identified in subsection (2) of this section</w:t>
      </w:r>
      <w:r>
        <w:t>))</w:t>
      </w:r>
      <w:r>
        <w:rPr/>
        <w:t xml:space="preserve"> </w:t>
      </w:r>
      <w:r>
        <w:rPr>
          <w:u w:val="single"/>
        </w:rPr>
        <w:t xml:space="preserve">Washington entities, as well as between Washington entities described in subsection (2)(a) of this section and out-of-state entities</w:t>
      </w:r>
      <w:r>
        <w:rPr/>
        <w:t xml:space="preserve">.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t>((</w:t>
      </w:r>
      <w:r>
        <w:rPr>
          <w:strike/>
        </w:rPr>
        <w:t xml:space="preserve">hospitals, hospital systems, or provider organizations</w:t>
      </w:r>
      <w:r>
        <w:t>))</w:t>
      </w:r>
      <w:r>
        <w:rPr/>
        <w:t xml:space="preserve"> </w:t>
      </w:r>
      <w:r>
        <w:rPr>
          <w:u w:val="single"/>
        </w:rPr>
        <w:t xml:space="preserve">entities</w:t>
      </w:r>
      <w:r>
        <w:rPr/>
        <w:t xml:space="preserve"> only qualifies as a material change </w:t>
      </w:r>
      <w:r>
        <w:rPr>
          <w:u w:val="single"/>
        </w:rPr>
        <w:t xml:space="preserve">transaction</w:t>
      </w:r>
      <w:r>
        <w:rPr/>
        <w:t xml:space="preserve"> if the </w:t>
      </w:r>
      <w:r>
        <w:t>((</w:t>
      </w:r>
      <w:r>
        <w:rPr>
          <w:strike/>
        </w:rPr>
        <w:t xml:space="preserve">hospitals, hospital systems, or provider organizations</w:t>
      </w:r>
      <w:r>
        <w:t>))</w:t>
      </w:r>
      <w:r>
        <w:rPr/>
        <w:t xml:space="preserve"> </w:t>
      </w:r>
      <w:r>
        <w:rPr>
          <w:u w:val="single"/>
        </w:rPr>
        <w:t xml:space="preserve">entities</w:t>
      </w:r>
      <w:r>
        <w:rPr/>
        <w:t xml:space="preserve"> did not previously have common ownership or a contracting affiliation."</w:t>
      </w:r>
    </w:p>
    <w:p>
      <w:pPr>
        <w:spacing w:before="0" w:after="0" w:line="408" w:lineRule="exact"/>
        <w:ind w:left="0" w:right="0" w:firstLine="576"/>
        <w:jc w:val="left"/>
      </w:pPr>
      <w:r>
        <w:rPr>
          <w:u w:val="single"/>
        </w:rPr>
        <w:t xml:space="preserve">EFFECT:</w:t>
      </w:r>
      <w:r>
        <w:rPr/>
        <w:t xml:space="preserve"> Includes hospital mergers with insurance carriers, insurance holding companies, and specified health care services providers or their governing entities.</w:t>
      </w:r>
    </w:p>
    <w:p>
      <w:pPr>
        <w:spacing w:before="0" w:after="0" w:line="408" w:lineRule="exact"/>
        <w:ind w:left="0" w:right="0" w:firstLine="576"/>
        <w:jc w:val="left"/>
      </w:pPr>
      <w:r>
        <w:rPr/>
        <w:t xml:space="preserve">Removes the $10,000,000 revenue requirement for reviewing mergers with out-of-state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4152b426e4b3a" /></Relationships>
</file>