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0a32b721448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S2062.1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25, after "</w:t>
      </w:r>
      <w:r>
        <w:rPr>
          <w:u w:val="single"/>
        </w:rPr>
        <w:t xml:space="preserve">assistance</w:t>
      </w:r>
      <w:r>
        <w:rPr/>
        <w:t xml:space="preserve">" insert "</w:t>
      </w:r>
      <w:r>
        <w:rPr>
          <w:u w:val="single"/>
        </w:rPr>
        <w:t xml:space="preserve">, technology updates, ongoing maintenance requirements, and adjustments to the technology funding formula,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27, after "</w:t>
      </w:r>
      <w:r>
        <w:rPr>
          <w:u w:val="single"/>
        </w:rPr>
        <w:t xml:space="preserve">platform</w:t>
      </w:r>
      <w:r>
        <w:rPr/>
        <w:t xml:space="preserve">" insert "</w:t>
      </w:r>
      <w:r>
        <w:rPr>
          <w:u w:val="single"/>
        </w:rPr>
        <w:t xml:space="preserve">in all school districts. In the implementation plan,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that technology updates, ongoing maintenance requirements, and adjustments to the technology funding formula be included in OSPI's universal platform implementation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OSPI to include in its implementation plan a cost alternative for ESDs to host the universal platform for second class school districts when such a district does not have sufficient technology resources to implement and maintain the universal platform.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1561c211c49e5" /></Relationships>
</file>