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ee398ca224cc2" /></Relationships>
</file>

<file path=word/document.xml><?xml version="1.0" encoding="utf-8"?>
<w:document xmlns:w="http://schemas.openxmlformats.org/wordprocessingml/2006/main">
  <w:body>
    <w:p>
      <w:r>
        <w:rPr>
          <w:b/>
        </w:rPr>
        <w:r>
          <w:rPr/>
          <w:t xml:space="preserve">5368-S</w:t>
        </w:r>
      </w:r>
      <w:r>
        <w:rPr>
          <w:b/>
        </w:rPr>
        <w:t xml:space="preserve"> </w:t>
        <w:t xml:space="preserve">AMS</w:t>
      </w:r>
      <w:r>
        <w:rPr>
          <w:b/>
        </w:rPr>
        <w:t xml:space="preserve"> </w:t>
        <w:r>
          <w:rPr/>
          <w:t xml:space="preserve">KEIS</w:t>
        </w:r>
      </w:r>
      <w:r>
        <w:rPr>
          <w:b/>
        </w:rPr>
        <w:t xml:space="preserve"> </w:t>
        <w:r>
          <w:rPr/>
          <w:t xml:space="preserve">S4498.2</w:t>
        </w:r>
      </w:r>
      <w:r>
        <w:rPr>
          <w:b/>
        </w:rPr>
        <w:t xml:space="preserve"> - NOT FOR FLOOR USE</w:t>
      </w:r>
    </w:p>
    <w:p>
      <w:pPr>
        <w:ind w:left="0" w:right="0" w:firstLine="576"/>
      </w:pPr>
    </w:p>
    <w:p>
      <w:pPr>
        <w:spacing w:before="480" w:after="0" w:line="408" w:lineRule="exact"/>
      </w:pPr>
      <w:r>
        <w:rPr>
          <w:b/>
          <w:u w:val="single"/>
        </w:rPr>
        <w:t xml:space="preserve">SSB 5368</w:t>
      </w:r>
      <w:r>
        <w:t xml:space="preserve"> -</w:t>
      </w:r>
      <w:r>
        <w:t xml:space="preserve"> </w:t>
        <w:t xml:space="preserve">S AMD</w:t>
      </w:r>
      <w:r>
        <w:t xml:space="preserve"> </w:t>
      </w:r>
      <w:r>
        <w:rPr>
          <w:b/>
        </w:rPr>
        <w:t xml:space="preserve">513</w:t>
      </w:r>
    </w:p>
    <w:p>
      <w:pPr>
        <w:spacing w:before="0" w:after="0" w:line="408" w:lineRule="exact"/>
        <w:ind w:left="0" w:right="0" w:firstLine="576"/>
        <w:jc w:val="left"/>
      </w:pPr>
      <w:r>
        <w:rPr/>
        <w:t xml:space="preserve">By Senator Keiser</w:t>
      </w:r>
    </w:p>
    <w:p>
      <w:pPr>
        <w:jc w:val="right"/>
      </w:pPr>
      <w:r>
        <w:rPr>
          <w:b/>
        </w:rPr>
        <w:t xml:space="preserve">PULLED 02/01/2024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established the stay-at-work program to reduce long-term disability and the cost of injuries by incentivizing employers to provide injured workers light duty and transitional return-to-work opportunities. Data from the department of labor and industries indicates that the program has lowered the risk of long-term disability and can improve mental health and well-being for workers who return to positions that allow for the time necessary for healing and rehabilitation.</w:t>
      </w:r>
    </w:p>
    <w:p>
      <w:pPr>
        <w:spacing w:before="0" w:after="0" w:line="408" w:lineRule="exact"/>
        <w:ind w:left="0" w:right="0" w:firstLine="576"/>
        <w:jc w:val="left"/>
      </w:pPr>
      <w:r>
        <w:rPr/>
        <w:t xml:space="preserve">(2) However, current law only allows for light duty or transitional return to work with the employer of injury, limiting opportunities and creating inequities for workers and employers. Small employers are less likely to have suitable light duty jobs. Workers, particularly in small businesses, are less likely to have access to remote light duty work. Injured workers who move out-of-state are also less likely to have access to return-to-work opportunities, especially when the employer of injury cannot offer remote work options.</w:t>
      </w:r>
    </w:p>
    <w:p>
      <w:pPr>
        <w:spacing w:before="0" w:after="0" w:line="408" w:lineRule="exact"/>
        <w:ind w:left="0" w:right="0" w:firstLine="576"/>
        <w:jc w:val="left"/>
      </w:pPr>
      <w:r>
        <w:rPr/>
        <w:t xml:space="preserve">(3) The legislature hereby intends to provide more opportunities for workers to access return to work and for employers to take advantage of the stay-at-work program by allowing flexibility in matching injured workers to temporary positions with local nonprofits to perform light duty work. Workers eligible for the expanded program pursuant to RCW 51.32.090(4)(m) will receive a written notice that they have a right to reject a specific light duty job with a specific nonprofit. This approach preserves all protections for injured workers, reduces claim costs, transitions workers back to productive work more quickly while allowing for recuperation, and benefits local nonprofits by providing experienced workers for important service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w:t>
      </w:r>
      <w:r>
        <w:rPr>
          <w:u w:val="single"/>
        </w:rPr>
        <w:t xml:space="preserve">(i)</w:t>
      </w:r>
      <w:r>
        <w:rPr/>
        <w:t xml:space="preserve">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w:t>
      </w:r>
      <w:r>
        <w:rPr>
          <w:u w:val="single"/>
        </w:rPr>
        <w:t xml:space="preserve">contemporaneous</w:t>
      </w:r>
      <w:r>
        <w:rPr/>
        <w:t xml:space="preserve"> copy to the worker </w:t>
      </w:r>
      <w:r>
        <w:rPr>
          <w:u w:val="single"/>
        </w:rPr>
        <w:t xml:space="preserve">in their preferred language</w:t>
      </w:r>
      <w:r>
        <w:rPr/>
        <w:t xml:space="preserve">, a </w:t>
      </w:r>
      <w:r>
        <w:t>((</w:t>
      </w:r>
      <w:r>
        <w:rPr>
          <w:strike/>
        </w:rPr>
        <w:t xml:space="preserve">statement describing the</w:t>
      </w:r>
      <w:r>
        <w:t>))</w:t>
      </w:r>
      <w:r>
        <w:rPr/>
        <w:t xml:space="preserve"> </w:t>
      </w:r>
      <w:r>
        <w:rPr>
          <w:u w:val="single"/>
        </w:rPr>
        <w:t xml:space="preserve">written job description of the light duty or transitional</w:t>
      </w:r>
      <w:r>
        <w:rPr/>
        <w:t xml:space="preserve"> work available with the employer of injury</w:t>
      </w:r>
      <w:r>
        <w:rPr>
          <w:u w:val="single"/>
        </w:rPr>
        <w:t xml:space="preserve">, or with a nonprofit organization or charity pursuant to (m) of this subsection,</w:t>
      </w:r>
      <w:r>
        <w:rPr/>
        <w:t xml:space="preserve"> in terms that will enable the attending provider to relate the activities of the job to the worker's disability. The attending provider shall then determine whether the worker is able to perform the work described. </w:t>
      </w:r>
      <w:r>
        <w:rPr>
          <w:u w:val="single"/>
        </w:rPr>
        <w:t xml:space="preserve">If more than 21 calendar days have passed since the attending provider's last appointment with the worker, the attending provider may meet with the worker, if the attending provider deems necessary, to determine whether the worker is able to perform the work. The attending provider's determination must be shared with both the worker and employer.</w:t>
      </w:r>
    </w:p>
    <w:p>
      <w:pPr>
        <w:spacing w:before="0" w:after="0" w:line="408" w:lineRule="exact"/>
        <w:ind w:left="0" w:right="0" w:firstLine="576"/>
        <w:jc w:val="left"/>
      </w:pPr>
      <w:r>
        <w:rPr>
          <w:u w:val="single"/>
        </w:rPr>
        <w:t xml:space="preserve">(ii) The worker shall accept or decline the light duty job offer within seven days after receiving notification that the attending provider has approved the job description. Failure to timely accept a valid light duty job offer shall result in termination of temporary total disability benefits except as described under (m)(iv) of this subsection.</w:t>
      </w:r>
    </w:p>
    <w:p>
      <w:pPr>
        <w:spacing w:before="0" w:after="0" w:line="408" w:lineRule="exact"/>
        <w:ind w:left="0" w:right="0" w:firstLine="576"/>
        <w:jc w:val="left"/>
      </w:pPr>
      <w:r>
        <w:rPr>
          <w:u w:val="single"/>
        </w:rPr>
        <w:t xml:space="preserve">(iii)</w:t>
      </w:r>
      <w:r>
        <w:rPr/>
        <w:t xml:space="preserve"> The worker's temporary total disability payments shall continue until the worker </w:t>
      </w:r>
      <w:r>
        <w:t>((</w:t>
      </w:r>
      <w:r>
        <w:rPr>
          <w:strike/>
        </w:rPr>
        <w:t xml:space="preserve">is released by his or her attending provider for the work, and</w:t>
      </w:r>
      <w:r>
        <w:t>))</w:t>
      </w:r>
      <w:r>
        <w:rPr/>
        <w:t xml:space="preserve"> begins the </w:t>
      </w:r>
      <w:r>
        <w:rPr>
          <w:u w:val="single"/>
        </w:rPr>
        <w:t xml:space="preserve">light duty</w:t>
      </w:r>
      <w:r>
        <w:rPr/>
        <w:t xml:space="preserve"> work with the employer of injury </w:t>
      </w:r>
      <w:r>
        <w:rPr>
          <w:u w:val="single"/>
        </w:rPr>
        <w:t xml:space="preserve">or with a nonprofit organization or charity pursuant to (m) of this subsection</w:t>
      </w:r>
      <w:r>
        <w:rPr/>
        <w:t xml:space="preserve">. If the </w:t>
      </w:r>
      <w:r>
        <w:rPr>
          <w:u w:val="single"/>
        </w:rPr>
        <w:t xml:space="preserve">light duty or transitional</w:t>
      </w:r>
      <w:r>
        <w:rPr/>
        <w:t xml:space="preserve"> work thereafter comes to an end before the worker's recovery is sufficient in the judgment of his or her attending provider to permit him or her to return to his or her usual job, or to perform other available work offered </w:t>
      </w:r>
      <w:r>
        <w:t>((</w:t>
      </w:r>
      <w:r>
        <w:rPr>
          <w:strike/>
        </w:rPr>
        <w:t xml:space="preserve">by the employer of injury</w:t>
      </w:r>
      <w:r>
        <w:t>))</w:t>
      </w:r>
      <w:r>
        <w:rPr/>
        <w:t xml:space="preserve"> </w:t>
      </w:r>
      <w:r>
        <w:rPr>
          <w:u w:val="single"/>
        </w:rPr>
        <w:t xml:space="preserve">pursuant to this section</w:t>
      </w:r>
      <w:r>
        <w:rPr/>
        <w:t xml:space="preserve">, the worker's temporary total disability payments shall be resumed. Should the </w:t>
      </w:r>
      <w:r>
        <w:t>((</w:t>
      </w:r>
      <w:r>
        <w:rPr>
          <w:strike/>
        </w:rPr>
        <w:t xml:space="preserve">available</w:t>
      </w:r>
      <w:r>
        <w:t>))</w:t>
      </w:r>
      <w:r>
        <w:rPr/>
        <w:t xml:space="preserve"> </w:t>
      </w:r>
      <w:r>
        <w:rPr>
          <w:u w:val="single"/>
        </w:rPr>
        <w:t xml:space="preserve">light duty</w:t>
      </w:r>
      <w:r>
        <w:rPr/>
        <w:t xml:space="preserve"> work </w:t>
      </w:r>
      <w:r>
        <w:t>((</w:t>
      </w:r>
      <w:r>
        <w:rPr>
          <w:strike/>
        </w:rPr>
        <w:t xml:space="preserve">described</w:t>
      </w:r>
      <w:r>
        <w:t>))</w:t>
      </w:r>
      <w:r>
        <w:rPr/>
        <w:t xml:space="preserve">,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 month</w:t>
      </w:r>
      <w:r>
        <w:t>))</w:t>
      </w:r>
      <w:r>
        <w:rPr/>
        <w:t xml:space="preserve"> </w:t>
      </w:r>
      <w:r>
        <w:rPr>
          <w:u w:val="single"/>
        </w:rPr>
        <w:t xml:space="preserve">24-month</w:t>
      </w:r>
      <w:r>
        <w:rPr/>
        <w:t xml:space="preserve">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 month</w:t>
      </w:r>
      <w:r>
        <w:t>))</w:t>
      </w:r>
      <w:r>
        <w:rPr/>
        <w:t xml:space="preserve"> </w:t>
      </w:r>
      <w:r>
        <w:rPr>
          <w:u w:val="single"/>
        </w:rPr>
        <w:t xml:space="preserve">24-month</w:t>
      </w:r>
      <w:r>
        <w:rPr/>
        <w:t xml:space="preserve">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w:t>
      </w:r>
      <w:r>
        <w:t>((</w:t>
      </w:r>
      <w:r>
        <w:rPr>
          <w:strike/>
        </w:rPr>
        <w:t xml:space="preserve">he or she</w:t>
      </w:r>
      <w:r>
        <w:t>))</w:t>
      </w:r>
      <w:r>
        <w:rPr/>
        <w:t xml:space="preserve"> </w:t>
      </w:r>
      <w:r>
        <w:rPr>
          <w:u w:val="single"/>
        </w:rPr>
        <w:t xml:space="preserve">the worker</w:t>
      </w:r>
      <w:r>
        <w:rPr/>
        <w:t xml:space="preserve"> shall not be assigned by the employer to work other than the available work described </w:t>
      </w:r>
      <w:r>
        <w:t>((</w:t>
      </w:r>
      <w:r>
        <w:rPr>
          <w:strike/>
        </w:rPr>
        <w:t xml:space="preserve">without the worker's written consent, or</w:t>
      </w:r>
      <w:r>
        <w:t>))</w:t>
      </w:r>
      <w:r>
        <w:rPr/>
        <w:t xml:space="preserve">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u w:val="single"/>
        </w:rPr>
        <w:t xml:space="preserve">(m) An employer with 100 or fewer employees may offer off-site, light duty return to work to a worker pursuant to this subsection (4) with an established nonprofit organization or charity pursuant to (n) of this subsection, subject to the following parameters and conditions:</w:t>
      </w:r>
    </w:p>
    <w:p>
      <w:pPr>
        <w:spacing w:before="0" w:after="0" w:line="408" w:lineRule="exact"/>
        <w:ind w:left="0" w:right="0" w:firstLine="576"/>
        <w:jc w:val="left"/>
      </w:pPr>
      <w:r>
        <w:rPr>
          <w:u w:val="single"/>
        </w:rPr>
        <w:t xml:space="preserve">(i) The employer of injury may not disclose the worker's medical restrictions with the nonprofit organization or charity without the worker's written consent. If the worker does not consent to the disclosure of their medical restrictions with the nonprofit organization</w:t>
      </w:r>
      <w:r>
        <w:rPr>
          <w:b/>
          <w:u w:val="single"/>
        </w:rPr>
        <w:t xml:space="preserve"> </w:t>
      </w:r>
      <w:r>
        <w:rPr>
          <w:u w:val="single"/>
        </w:rPr>
        <w:t xml:space="preserve">or charity, any approved light duty work must be with the employer of injury;</w:t>
      </w:r>
    </w:p>
    <w:p>
      <w:pPr>
        <w:spacing w:before="0" w:after="0" w:line="408" w:lineRule="exact"/>
        <w:ind w:left="0" w:right="0" w:firstLine="576"/>
        <w:jc w:val="left"/>
      </w:pPr>
      <w:r>
        <w:rPr>
          <w:u w:val="single"/>
        </w:rPr>
        <w:t xml:space="preserve">(ii) The employer of injury remains accountable for all reporting requirements;</w:t>
      </w:r>
    </w:p>
    <w:p>
      <w:pPr>
        <w:spacing w:before="0" w:after="0" w:line="408" w:lineRule="exact"/>
        <w:ind w:left="0" w:right="0" w:firstLine="576"/>
        <w:jc w:val="left"/>
      </w:pPr>
      <w:r>
        <w:rPr>
          <w:u w:val="single"/>
        </w:rPr>
        <w:t xml:space="preserve">(iii) The employer of injury remains responsible for any new injury or occupational disease incurred while the worker is on off-site, light duty return to work;</w:t>
      </w:r>
    </w:p>
    <w:p>
      <w:pPr>
        <w:spacing w:before="0" w:after="0" w:line="408" w:lineRule="exact"/>
        <w:ind w:left="0" w:right="0" w:firstLine="576"/>
        <w:jc w:val="left"/>
      </w:pPr>
      <w:r>
        <w:rPr>
          <w:u w:val="single"/>
        </w:rPr>
        <w:t xml:space="preserve">(iv) The injured worker does not forfeit any protections or benefits afforded to them under this title, and the injured worker may reject a light duty return-to-work offer or otherwise terminate the light duty return to work with the nonprofit organization</w:t>
      </w:r>
      <w:r>
        <w:rPr>
          <w:u w:val="single"/>
        </w:rPr>
        <w:t xml:space="preserve"> or charity, in which case the injured worker's temporary total disability payments must continue or be resumed;</w:t>
      </w:r>
    </w:p>
    <w:p>
      <w:pPr>
        <w:spacing w:before="0" w:after="0" w:line="408" w:lineRule="exact"/>
        <w:ind w:left="0" w:right="0" w:firstLine="576"/>
        <w:jc w:val="left"/>
      </w:pPr>
      <w:r>
        <w:rPr>
          <w:u w:val="single"/>
        </w:rPr>
        <w:t xml:space="preserve">(v) Except as otherwise provided under this subsection (4)(m), the offer of light duty return to work with the nonprofit organization or charity is subject to the same parameters and conditions as an offer of available work with the employer of injury;</w:t>
      </w:r>
    </w:p>
    <w:p>
      <w:pPr>
        <w:spacing w:before="0" w:after="0" w:line="408" w:lineRule="exact"/>
        <w:ind w:left="0" w:right="0" w:firstLine="576"/>
        <w:jc w:val="left"/>
      </w:pPr>
      <w:r>
        <w:rPr>
          <w:u w:val="single"/>
        </w:rPr>
        <w:t xml:space="preserve">(vi) The employer of injury may be eligible for reimbursement under (c) through (g) of this subsection if the department determines the employer qualifies; and</w:t>
      </w:r>
    </w:p>
    <w:p>
      <w:pPr>
        <w:spacing w:before="0" w:after="0" w:line="408" w:lineRule="exact"/>
        <w:ind w:left="0" w:right="0" w:firstLine="576"/>
        <w:jc w:val="left"/>
      </w:pPr>
      <w:r>
        <w:rPr>
          <w:u w:val="single"/>
        </w:rPr>
        <w:t xml:space="preserve">(vii) The worker's experience gained through any light duty work under this subsection (4)(m) with the nonprofit organization or charity may not be construed as acquisition of transferable skills and does not disqualify the injured worker from accessing vocational rehabilitation services or other retraining programs available under this title.</w:t>
      </w:r>
    </w:p>
    <w:p>
      <w:pPr>
        <w:spacing w:before="0" w:after="0" w:line="408" w:lineRule="exact"/>
        <w:ind w:left="0" w:right="0" w:firstLine="576"/>
        <w:jc w:val="left"/>
      </w:pPr>
      <w:r>
        <w:rPr>
          <w:u w:val="single"/>
        </w:rPr>
        <w:t xml:space="preserve">(n)(i) To offer light duty, transitional work with a nonprofit organization or charity under (m) of this subsection, the employer of injury must contract with a return-to-work employment agency approved by the department or work with a nonprofit organization or charity listed as active on a secretary of state website. The department must develop the criteria in rule for a return-to-work employment agency to receive department approval under this subsection.</w:t>
      </w:r>
    </w:p>
    <w:p>
      <w:pPr>
        <w:spacing w:before="0" w:after="0" w:line="408" w:lineRule="exact"/>
        <w:ind w:left="0" w:right="0" w:firstLine="576"/>
        <w:jc w:val="left"/>
      </w:pPr>
      <w:r>
        <w:rPr>
          <w:u w:val="single"/>
        </w:rPr>
        <w:t xml:space="preserve">(ii) The department must work with the vocational rehabilitation advisory committee established in RCW 51.32.096 to research and report on meaningful return-to-work outcomes and the benefits of return to work on workers' mental health. The advisory committee must also study the quality of the work and benefits to the worker of transitional return to work with nonprofit organizations and make recommendations for improving outcomes. The report must be submitted to the workers' compensation advisory committee by October 31, 2029, for consideration of additional legislation.</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14</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14</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480" w:after="0" w:line="408" w:lineRule="exact"/>
      </w:pPr>
      <w:r>
        <w:rPr>
          <w:b/>
          <w:u w:val="single"/>
        </w:rPr>
        <w:t xml:space="preserve">SSB 5368</w:t>
      </w:r>
      <w:r>
        <w:t xml:space="preserve"> -</w:t>
      </w:r>
      <w:r>
        <w:t xml:space="preserve"> </w:t>
        <w:t xml:space="preserve">S AMD</w:t>
      </w:r>
      <w:r>
        <w:t xml:space="preserve"> </w:t>
      </w:r>
      <w:r>
        <w:rPr>
          <w:b/>
        </w:rPr>
        <w:t xml:space="preserve">513</w:t>
      </w:r>
    </w:p>
    <w:p>
      <w:pPr>
        <w:spacing w:before="0" w:after="0" w:line="408" w:lineRule="exact"/>
        <w:ind w:left="0" w:right="0" w:firstLine="576"/>
        <w:jc w:val="left"/>
      </w:pPr>
      <w:r>
        <w:rPr/>
        <w:t xml:space="preserve">By Senator Keiser</w:t>
      </w:r>
    </w:p>
    <w:p>
      <w:pPr>
        <w:jc w:val="right"/>
      </w:pPr>
      <w:r>
        <w:rPr>
          <w:b/>
        </w:rPr>
        <w:t xml:space="preserve">PULLED 02/01/2024</w:t>
      </w:r>
    </w:p>
    <w:p>
      <w:pPr>
        <w:spacing w:before="0" w:after="0" w:line="408" w:lineRule="exact"/>
        <w:ind w:left="0" w:right="0" w:firstLine="576"/>
        <w:jc w:val="left"/>
      </w:pPr>
      <w:r>
        <w:rPr/>
        <w:t xml:space="preserve">On page 1, line 3 of the title, after "workers;" strike the remainder of the title and insert "amending RCW 51.32.090; creating a new section; and providing an effective date."</w:t>
      </w:r>
    </w:p>
    <w:p>
      <w:pPr>
        <w:spacing w:before="0" w:after="0" w:line="408" w:lineRule="exact"/>
        <w:ind w:left="0" w:right="0" w:firstLine="576"/>
        <w:jc w:val="left"/>
      </w:pPr>
      <w:r>
        <w:rPr>
          <w:u w:val="single"/>
        </w:rPr>
        <w:t xml:space="preserve">EFFECT:</w:t>
      </w:r>
      <w:r>
        <w:rPr/>
        <w:t xml:space="preserve"> (1) Modifies Section 2/RCW 51.32.090 in SSB 5368 to incorporate changes made in 2023 to include attending provider, rather than physician or licensed advanced registered nurse practitioner.</w:t>
      </w:r>
    </w:p>
    <w:p>
      <w:pPr>
        <w:spacing w:before="0" w:after="0" w:line="408" w:lineRule="exact"/>
        <w:ind w:left="0" w:right="0" w:firstLine="576"/>
        <w:jc w:val="left"/>
      </w:pPr>
      <w:r>
        <w:rPr/>
        <w:t xml:space="preserve">(2) Modifies the legislative intent.</w:t>
      </w:r>
    </w:p>
    <w:p>
      <w:pPr>
        <w:spacing w:before="0" w:after="0" w:line="408" w:lineRule="exact"/>
        <w:ind w:left="0" w:right="0" w:firstLine="576"/>
        <w:jc w:val="left"/>
      </w:pPr>
      <w:r>
        <w:rPr/>
        <w:t xml:space="preserve">(3) Requires that when an employer requests to the attending provider that the injured worker be certified to perform work other than their usual work, the employer must provide a contemporaneous copy to the worker in their preferred language of a written job description of the work, rather than provide a copy to the worker a statement describing the work; that the attending provider may meet with the worker if the provider has not seen the worker in the prior 21 days; and that the attending provider's determination must be shared with both the worker and employer.</w:t>
      </w:r>
    </w:p>
    <w:p>
      <w:pPr>
        <w:spacing w:before="0" w:after="0" w:line="408" w:lineRule="exact"/>
        <w:ind w:left="0" w:right="0" w:firstLine="576"/>
        <w:jc w:val="left"/>
      </w:pPr>
      <w:r>
        <w:rPr/>
        <w:t xml:space="preserve">(4) Requires the worker to accept or decline the light duty job offer within seven days after receiving notification that the attending provider has approved the job description and failure to timely accept results in termination of temporary total disability benefits with limited exceptions. Modifies the exception to the ability to reject light duty work with a nonprofit or charity.</w:t>
      </w:r>
    </w:p>
    <w:p>
      <w:pPr>
        <w:spacing w:before="0" w:after="0" w:line="408" w:lineRule="exact"/>
        <w:ind w:left="0" w:right="0" w:firstLine="576"/>
        <w:jc w:val="left"/>
      </w:pPr>
      <w:r>
        <w:rPr/>
        <w:t xml:space="preserve">(5) Adds charity where nonprofit organization is included.</w:t>
      </w:r>
    </w:p>
    <w:p>
      <w:pPr>
        <w:spacing w:before="0" w:after="0" w:line="408" w:lineRule="exact"/>
        <w:ind w:left="0" w:right="0" w:firstLine="576"/>
        <w:jc w:val="left"/>
      </w:pPr>
      <w:r>
        <w:rPr/>
        <w:t xml:space="preserve">(6) Modifies the requirements to offer light duty, transitional work with a nonprofit or charity that the employer must contract with an approved return-to-work employment agency or work with a nonprofit or charity active on the Secretary of State's website, rather than established return-to-work employment agency, and requires the Department of Labor and Industries (LNI) to develop the criteria in rule for a return-to-work employment agency to receive department approval.</w:t>
      </w:r>
    </w:p>
    <w:p>
      <w:pPr>
        <w:spacing w:before="0" w:after="0" w:line="408" w:lineRule="exact"/>
        <w:ind w:left="0" w:right="0" w:firstLine="576"/>
        <w:jc w:val="left"/>
      </w:pPr>
      <w:r>
        <w:rPr/>
        <w:t xml:space="preserve">(7) Requires LNI to work with the vocational rehabilitation advisory committee to: (a) Research, report, and make recommendations to the worker's compensation advisory committee by October 31, 2029, on meaningful return-to-work outcomes and the benefits on workers' mental health; (b) study the quality of the work and benefits to the worker of transitional work with nonprofit organizations.</w:t>
      </w:r>
    </w:p>
    <w:p>
      <w:pPr>
        <w:spacing w:before="0" w:after="0" w:line="408" w:lineRule="exact"/>
        <w:ind w:left="0" w:right="0" w:firstLine="576"/>
        <w:jc w:val="left"/>
      </w:pPr>
      <w:r>
        <w:rPr/>
        <w:t xml:space="preserve">(8) Makes the act effective January 1, 2026, rather than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6bebe09d04ec0" /></Relationships>
</file>