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650b64b1f40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5716-S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S2217.1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October 1, 2024, the joint legislative audit and review committee in consultation with the department of health, the department of social and health services, and other appropriate stakeholders, shall conduct a performance audit analyzing the on-site monitoring, state licensure, and validation surveys performed on in-home services agencies as referenced in chapter 70.127 RCW. The analysis must include, at a minimum, the following components: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evaluation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current process that the department of health, the department of social and health services, and area agencies on aging use to perform oversight and surveys on in-home services agencies including, but not limited to: The in-home services agencies subject to surveys, the frequency of the surveys, and who is performing the surveys;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Auditing and monitoring assessment tools utilized during the on-site monitoring, state licensure, and validation surveys with a focus on analyzing how surveys are performed, the length of the surveys, and the differences between the tools;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determination of whether the current auditing and monitoring assessment tools are ensuring that in-home services agencies are complying with state and federal laws and regulations;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determination if the current process and compliance models are the most efficient available and accurately measured, do not duplicate survey efforts, and ensure in-home services agencies are complying with state and federal laws and regulations;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review of any duplication of surveys conducted while ensuring that the in-home services agencies are meeting the standards outlined in state and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joint legislative audit and review committee shall submit a final report on their findings to the appropriate committees of the legislature by October 1, 2024, and shall submit a progress report by December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2025."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5716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"agencies;" strike the remainder of the title and insert "creating a new section;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scope of the performance audit. Modifies the requirement to make recommendations to allow for recommendations as appropriate.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fac2bbea94ec5" /></Relationships>
</file>