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5f98e7bd5463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5790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S4189.1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01/31/2024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"the" strike "2024-25" and insert "2026-27"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School districts are encouraged to implement the requirements in this section during the 2024-25 and 2025-26 school years.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This section governs school operation and management under RCW 28A.710.040 and 28A.715.020 and applies to charter schools established under chapter 28A.710 RCW and state-tribal education compact schools subject to chapter 28A.715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Delays the bleeding control equipment and training requirements from the 2024-25 school year to the 2026-27 school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Encourages implementation of the requirements during the 2024-25 and 2025-26 school years.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Applies these requirements to charter schools and state-tribal education compact schools.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e05f8e4ed40c8" /></Relationships>
</file>