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4ec0802064d2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5824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S4281.1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5824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ADOPTED 01/24/2024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11, strike "</w:t>
      </w:r>
      <w:r>
        <w:rPr>
          <w:u w:val="single"/>
        </w:rPr>
        <w:t xml:space="preserve">35</w:t>
      </w:r>
      <w:r>
        <w:rPr/>
        <w:t xml:space="preserve">" and insert "</w:t>
      </w:r>
      <w:r>
        <w:rPr>
          <w:u w:val="single"/>
        </w:rPr>
        <w:t xml:space="preserve">25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Decreases the signature threshold for petitions to dissolve libraries and library districts from 35 percent to 25 percent.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12570700f4caa" /></Relationships>
</file>