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ebacab83a4e0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5950-S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DOZI</w:t>
        </w:r>
      </w:r>
      <w:r>
        <w:rPr>
          <w:b/>
        </w:rPr>
        <w:t xml:space="preserve"> </w:t>
        <w:r>
          <w:rPr/>
          <w:t xml:space="preserve">S5403.1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5950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Dozier</w:t>
      </w:r>
    </w:p>
    <w:p>
      <w:pPr>
        <w:jc w:val="right"/>
      </w:pPr>
      <w:r>
        <w:rPr>
          <w:b/>
        </w:rPr>
        <w:t xml:space="preserve">ADOPTED 02/23/2024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 On page 500, line 34, increase the Model Toxics Control Operating Account</w:t>
      </w:r>
      <w:r>
        <w:rPr>
          <w:rFonts w:ascii="Times New Roman" w:hAnsi="Times New Roman"/>
        </w:rPr>
        <w:t xml:space="preserve">—</w:t>
      </w:r>
      <w:r>
        <w:rPr/>
        <w:t xml:space="preserve">Local Appropriation by $501,000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516, after line 17,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(67) $501,000 of the model toxics control operating account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local appropriation is provided solely for cleanup costs at the Stillwater holdings Chevron site in Walla Walla.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funding and direction to the department of ecology for cleanup costs at a site in Walla Walla.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(2023-2025):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State/$501,000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1bcefa684c41" /></Relationships>
</file>