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070e78a604d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6058-S2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36, after "</w:t>
      </w:r>
      <w:r>
        <w:rPr>
          <w:u w:val="single"/>
        </w:rPr>
        <w:t xml:space="preserve">2026.</w:t>
      </w:r>
      <w:r>
        <w:rPr/>
        <w:t xml:space="preserve">" insert "</w:t>
      </w:r>
      <w:r>
        <w:rPr>
          <w:u w:val="single"/>
        </w:rPr>
        <w:t xml:space="preserve">In any rule making to amend Washington's compliance periods that results in the compliance periods being reduced from four-year periods, the department must account for the impact that such a change would have on an electric utility whose emissions are affected by variable hydropower generation when  establishing its methods and procedures for allocating allowances under RCW 70A.65.120.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department of ecology to account for the impact that changing from a four-year compliance period would have on an electric utility whose emissions are affected by variable hydropower generation when allocating no-cost allowances under the climate commitment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3f5c8203b4fd5" /></Relationships>
</file>