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7965c2cbe4d96" /></Relationships>
</file>

<file path=word/document.xml><?xml version="1.0" encoding="utf-8"?>
<w:document xmlns:w="http://schemas.openxmlformats.org/wordprocessingml/2006/main">
  <w:body>
    <w:p>
      <w:r>
        <w:rPr>
          <w:b/>
        </w:rPr>
        <w:r>
          <w:rPr/>
          <w:t xml:space="preserve">6120</w:t>
        </w:r>
      </w:r>
      <w:r>
        <w:rPr>
          <w:b/>
        </w:rPr>
        <w:t xml:space="preserve"> </w:t>
        <w:t xml:space="preserve">AMS</w:t>
      </w:r>
      <w:r>
        <w:rPr>
          <w:b/>
        </w:rPr>
        <w:t xml:space="preserve"> </w:t>
        <w:r>
          <w:rPr/>
          <w:t xml:space="preserve">VAND</w:t>
        </w:r>
      </w:r>
      <w:r>
        <w:rPr>
          <w:b/>
        </w:rPr>
        <w:t xml:space="preserve"> </w:t>
        <w:r>
          <w:rPr/>
          <w:t xml:space="preserve">S4868.1</w:t>
        </w:r>
      </w:r>
      <w:r>
        <w:rPr>
          <w:b/>
        </w:rPr>
        <w:t xml:space="preserve"> - NOT FOR FLOOR USE</w:t>
      </w:r>
    </w:p>
    <w:p>
      <w:pPr>
        <w:ind w:left="0" w:right="0" w:firstLine="576"/>
      </w:pPr>
    </w:p>
    <w:p>
      <w:pPr>
        <w:spacing w:before="480" w:after="0" w:line="408" w:lineRule="exact"/>
      </w:pPr>
      <w:r>
        <w:rPr>
          <w:b/>
          <w:u w:val="single"/>
        </w:rPr>
        <w:t xml:space="preserve">SB 6120</w:t>
      </w:r>
      <w:r>
        <w:t xml:space="preserve"> -</w:t>
      </w:r>
      <w:r>
        <w:t xml:space="preserve"> </w:t>
        <w:t xml:space="preserve">S AMD</w:t>
      </w:r>
      <w:r>
        <w:t xml:space="preserve"> </w:t>
      </w:r>
      <w:r>
        <w:rPr>
          <w:b/>
        </w:rPr>
        <w:t xml:space="preserve">548</w:t>
      </w:r>
    </w:p>
    <w:p>
      <w:pPr>
        <w:spacing w:before="0" w:after="0" w:line="408" w:lineRule="exact"/>
        <w:ind w:left="0" w:right="0" w:firstLine="576"/>
        <w:jc w:val="left"/>
      </w:pPr>
      <w:r>
        <w:rPr/>
        <w:t xml:space="preserve">By Senator Van De Wege</w:t>
      </w:r>
    </w:p>
    <w:p>
      <w:pPr>
        <w:jc w:val="right"/>
      </w:pPr>
      <w:r>
        <w:rPr>
          <w:b/>
        </w:rPr>
        <w:t xml:space="preserve">ADOPTED 02/07/2024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t>((</w:t>
      </w:r>
      <w:r>
        <w:rPr>
          <w:strike/>
        </w:rPr>
        <w:t xml:space="preserve">Portions</w:t>
      </w:r>
      <w:r>
        <w:t>))</w:t>
      </w:r>
      <w:r>
        <w:rPr/>
        <w:t xml:space="preserve"> </w:t>
      </w:r>
      <w:r>
        <w:rPr>
          <w:u w:val="single"/>
        </w:rPr>
        <w:t xml:space="preserve">Only those portions</w:t>
      </w:r>
      <w:r>
        <w:rPr/>
        <w:t xml:space="preserve"> of the International Wildland Urban Interface Code, published by the International Code Council Inc., as </w:t>
      </w:r>
      <w:r>
        <w:t>((</w:t>
      </w:r>
      <w:r>
        <w:rPr>
          <w:strike/>
        </w:rPr>
        <w:t xml:space="preserve">set forth</w:t>
      </w:r>
      <w:r>
        <w:t>))</w:t>
      </w:r>
      <w:r>
        <w:rPr/>
        <w:t xml:space="preserve"> </w:t>
      </w:r>
      <w:r>
        <w:rPr>
          <w:u w:val="single"/>
        </w:rPr>
        <w:t xml:space="preserve">specifically referenced</w:t>
      </w:r>
      <w:r>
        <w:rPr/>
        <w:t xml:space="preserve"> in RCW 19.27.560</w:t>
      </w:r>
      <w:r>
        <w:rPr>
          <w:u w:val="single"/>
        </w:rPr>
        <w:t xml:space="preserve">(1), or the model International Wildland Urban Interface Code specifically referenced in RCW 19.27.560(2)</w:t>
      </w:r>
      <w:r>
        <w:rPr/>
        <w:t xml:space="preserve">;</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provided, that Wildland Urban Interface Codes must be consistent with RCW 19.27.560</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560</w:t>
      </w:r>
      <w:r>
        <w:rPr/>
        <w:t xml:space="preserve"> and 2018 c 189 s 2 are each amended to read as follows:</w:t>
      </w:r>
    </w:p>
    <w:p>
      <w:pPr>
        <w:spacing w:before="0" w:after="0" w:line="408" w:lineRule="exact"/>
        <w:ind w:left="0" w:right="0" w:firstLine="576"/>
        <w:jc w:val="left"/>
      </w:pPr>
      <w:r>
        <w:rPr/>
        <w:t xml:space="preserve">(1) In addition to the provisions of RCW 19.27.031, the state building code shall, upon the completion of </w:t>
      </w:r>
      <w:r>
        <w:rPr>
          <w:u w:val="single"/>
        </w:rPr>
        <w:t xml:space="preserve">a</w:t>
      </w:r>
      <w:r>
        <w:rPr/>
        <w:t xml:space="preserve"> statewide </w:t>
      </w:r>
      <w:r>
        <w:t>((</w:t>
      </w:r>
      <w:r>
        <w:rPr>
          <w:strike/>
        </w:rPr>
        <w:t xml:space="preserve">mapping of wildland urban interface areas consist of the following parts</w:t>
      </w:r>
      <w:r>
        <w:t>))</w:t>
      </w:r>
      <w:r>
        <w:rPr/>
        <w:t xml:space="preserve"> </w:t>
      </w:r>
      <w:r>
        <w:rPr>
          <w:u w:val="single"/>
        </w:rPr>
        <w:t xml:space="preserve">wildfire hazard map and a base-level wildfire risk map for each county of the state, per RCW 43.30.580, consist of chapter 1 and the following technical provisions</w:t>
      </w:r>
      <w:r>
        <w:rPr/>
        <w:t xml:space="preserve"> of the </w:t>
      </w:r>
      <w:r>
        <w:t>((</w:t>
      </w:r>
      <w:r>
        <w:rPr>
          <w:strike/>
        </w:rPr>
        <w:t xml:space="preserve">2018</w:t>
      </w:r>
      <w:r>
        <w:t>))</w:t>
      </w:r>
      <w:r>
        <w:rPr/>
        <w:t xml:space="preserve">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w:t>
      </w:r>
      <w:r>
        <w:t>((</w:t>
      </w:r>
      <w:r>
        <w:rPr>
          <w:strike/>
        </w:rPr>
        <w:t xml:space="preserve">section 504</w:t>
      </w:r>
      <w:r>
        <w:t>))</w:t>
      </w:r>
      <w:r>
        <w:rPr/>
        <w:t xml:space="preserve"> class 1 ignition-resistant construction:</w:t>
      </w:r>
    </w:p>
    <w:p>
      <w:pPr>
        <w:spacing w:before="0" w:after="0" w:line="408" w:lineRule="exact"/>
        <w:ind w:left="0" w:right="0" w:firstLine="576"/>
        <w:jc w:val="left"/>
      </w:pPr>
      <w:r>
        <w:rPr/>
        <w:t xml:space="preserve">(i)(A) </w:t>
      </w:r>
      <w:r>
        <w:t>((</w:t>
      </w:r>
      <w:r>
        <w:rPr>
          <w:strike/>
        </w:rPr>
        <w:t xml:space="preserve">504.2</w:t>
      </w:r>
      <w:r>
        <w:t>))</w:t>
      </w:r>
      <w:r>
        <w:rPr/>
        <w:t xml:space="preserve">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w:t>
      </w:r>
      <w:r>
        <w:t>((</w:t>
      </w:r>
      <w:r>
        <w:rPr>
          <w:strike/>
        </w:rPr>
        <w:t xml:space="preserve">section 503 of</w:t>
      </w:r>
      <w:r>
        <w:t>))</w:t>
      </w:r>
      <w:r>
        <w:rPr/>
        <w:t xml:space="preserve"> the International Wildland Urban Interface Code.</w:t>
      </w:r>
    </w:p>
    <w:p>
      <w:pPr>
        <w:spacing w:before="0" w:after="0" w:line="408" w:lineRule="exact"/>
        <w:ind w:left="0" w:right="0" w:firstLine="576"/>
        <w:jc w:val="left"/>
      </w:pPr>
      <w:r>
        <w:rPr/>
        <w:t xml:space="preserve">(ii) </w:t>
      </w:r>
      <w:r>
        <w:t>((</w:t>
      </w:r>
      <w:r>
        <w:rPr>
          <w:strike/>
        </w:rPr>
        <w:t xml:space="preserve">504.5</w:t>
      </w:r>
      <w:r>
        <w:t>))</w:t>
      </w:r>
      <w:r>
        <w:rPr/>
        <w:t xml:space="preserve">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w:t>
      </w:r>
      <w:r>
        <w:t>((</w:t>
      </w:r>
      <w:r>
        <w:rPr>
          <w:strike/>
        </w:rPr>
        <w:t xml:space="preserve">504.7</w:t>
      </w:r>
      <w:r>
        <w:t>))</w:t>
      </w:r>
      <w:r>
        <w:rPr/>
        <w:t xml:space="preserve">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w:t>
      </w:r>
      <w:r>
        <w:t>((</w:t>
      </w:r>
      <w:r>
        <w:rPr>
          <w:strike/>
        </w:rPr>
        <w:t xml:space="preserve">section 2303.2 of</w:t>
      </w:r>
      <w:r>
        <w:t>))</w:t>
      </w:r>
      <w:r>
        <w:rPr/>
        <w:t xml:space="preserve"> the International Building Code; or</w:t>
      </w:r>
    </w:p>
    <w:p>
      <w:pPr>
        <w:spacing w:before="0" w:after="0" w:line="408" w:lineRule="exact"/>
        <w:ind w:left="0" w:right="0" w:firstLine="576"/>
        <w:jc w:val="left"/>
      </w:pPr>
      <w:r>
        <w:rPr/>
        <w:t xml:space="preserve">(III) Ignition-resistant building materials in accordance with </w:t>
      </w:r>
      <w:r>
        <w:t>((</w:t>
      </w:r>
      <w:r>
        <w:rPr>
          <w:strike/>
        </w:rPr>
        <w:t xml:space="preserve">section 503.2 of</w:t>
      </w:r>
      <w:r>
        <w:t>))</w:t>
      </w:r>
      <w:r>
        <w:rPr/>
        <w:t xml:space="preserve">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w:t>
      </w:r>
      <w:r>
        <w:t>((</w:t>
      </w:r>
      <w:r>
        <w:rPr>
          <w:strike/>
        </w:rPr>
        <w:t xml:space="preserve">Section 403.2</w:t>
      </w:r>
      <w:r>
        <w:t>))</w:t>
      </w:r>
      <w:r>
        <w:rPr/>
        <w:t xml:space="preserve">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w:t>
      </w:r>
      <w:r>
        <w:rPr>
          <w:u w:val="single"/>
        </w:rPr>
        <w:t xml:space="preserve">in whole</w:t>
      </w:r>
      <w:r>
        <w:rPr/>
        <w:t xml:space="preserve"> or any portion thereof.</w:t>
      </w:r>
    </w:p>
    <w:p>
      <w:pPr>
        <w:spacing w:before="0" w:after="0" w:line="408" w:lineRule="exact"/>
        <w:ind w:left="0" w:right="0" w:firstLine="576"/>
        <w:jc w:val="left"/>
      </w:pPr>
      <w:r>
        <w:rPr/>
        <w:t xml:space="preserve">(3) In adopting and maintaining the code enumerated in subsection</w:t>
      </w:r>
      <w:r>
        <w:t>((</w:t>
      </w:r>
      <w:r>
        <w:rPr>
          <w:strike/>
        </w:rPr>
        <w:t xml:space="preserve">s</w:t>
      </w:r>
      <w:r>
        <w:t>))</w:t>
      </w:r>
      <w:r>
        <w:rPr/>
        <w:t xml:space="preserve"> (1) </w:t>
      </w:r>
      <w:r>
        <w:t>((</w:t>
      </w:r>
      <w:r>
        <w:rPr>
          <w:strike/>
        </w:rPr>
        <w:t xml:space="preserve">and (2)</w:t>
      </w:r>
      <w:r>
        <w:t>))</w:t>
      </w:r>
      <w:r>
        <w:rPr/>
        <w:t xml:space="preserve"> of this section, any amendment to the code as adopted under subsection</w:t>
      </w:r>
      <w:r>
        <w:t>((</w:t>
      </w:r>
      <w:r>
        <w:rPr>
          <w:strike/>
        </w:rPr>
        <w:t xml:space="preserve">s</w:t>
      </w:r>
      <w:r>
        <w:t>))</w:t>
      </w:r>
      <w:r>
        <w:rPr/>
        <w:t xml:space="preserve"> (1) </w:t>
      </w:r>
      <w:r>
        <w:t>((</w:t>
      </w:r>
      <w:r>
        <w:rPr>
          <w:strike/>
        </w:rPr>
        <w:t xml:space="preserve">and (2)</w:t>
      </w:r>
      <w:r>
        <w:t>))</w:t>
      </w:r>
      <w:r>
        <w:rPr/>
        <w:t xml:space="preserve"> of this section may not result in an International Wildland Urban Interface Code that is more than the minimum performance standards and requirements contained in </w:t>
      </w:r>
      <w:r>
        <w:t>((</w:t>
      </w:r>
      <w:r>
        <w:rPr>
          <w:strike/>
        </w:rPr>
        <w:t xml:space="preserve">the published model code</w:t>
      </w:r>
      <w:r>
        <w:t>))</w:t>
      </w:r>
      <w:r>
        <w:rPr/>
        <w:t xml:space="preserve"> </w:t>
      </w:r>
      <w:r>
        <w:rPr>
          <w:u w:val="single"/>
        </w:rPr>
        <w:t xml:space="preserve">subsection (1) of this section</w:t>
      </w:r>
      <w:r>
        <w:rPr/>
        <w:t xml:space="preserve">.</w:t>
      </w:r>
    </w:p>
    <w:p>
      <w:pPr>
        <w:spacing w:before="0" w:after="0" w:line="408" w:lineRule="exact"/>
        <w:ind w:left="0" w:right="0" w:firstLine="576"/>
        <w:jc w:val="left"/>
      </w:pPr>
      <w:r>
        <w:rPr>
          <w:u w:val="single"/>
        </w:rPr>
        <w:t xml:space="preserve">(4) All counties, cities, and towns may complete their own wildfire hazard and base-level wildfire risk map for use in applying the code enumerated in subsections (1) and (2) of this section. Counties, cities, and towns may continue to use locally adopted wildfire risk maps until completion of a statewide wildfire hazard map and base-level wildfire risk map for each county of the state per RCW 43.30.580. Six months after the statewide wildfire hazard map and base-level wildfire risk map is complete, any map adopted by counties, cities, and towns must utilize the same or substantially similar criteria as the map required by subsection (1) of this section.</w:t>
      </w:r>
    </w:p>
    <w:p>
      <w:pPr>
        <w:spacing w:before="0" w:after="0" w:line="408" w:lineRule="exact"/>
        <w:ind w:left="0" w:right="0" w:firstLine="576"/>
        <w:jc w:val="left"/>
      </w:pPr>
      <w:r>
        <w:rPr>
          <w:u w:val="single"/>
        </w:rPr>
        <w:t xml:space="preserve">(5) All counties, cities, and towns issuing commercial and residential building permits for parcels in areas identified as high hazard and very high hazard on the map required by subsection (1) of this section or adopted according to subsection (4) of this section shall apply the code enumerated in subsections (1) or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580</w:t>
      </w:r>
      <w:r>
        <w:rPr/>
        <w:t xml:space="preserve"> and 2018 c 189 s 3 are each amended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RCW 19.27.560.</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0" w:after="0" w:line="408" w:lineRule="exact"/>
        <w:ind w:left="0" w:right="0" w:firstLine="576"/>
        <w:jc w:val="left"/>
      </w:pPr>
      <w:r>
        <w:rPr>
          <w:u w:val="single"/>
        </w:rPr>
        <w:t xml:space="preserve">(3) The department shall establish and maintain a statewide wildfire hazard map and a base-level wildfire risk map for each county of the state based upon criteria established in coordination with the state fire marshal office. The hazard map shall be made available on the department's website and shall designate areas as low, moderate, high, and very high wildfire hazard. The risk map shall be made available on the department's website and designate vulnerable resources or assets based on their exposure and susceptibility to a wildfire hazard. The department shall establish a method by which local governments may update the wildfire risk map based on local assessments and approved by the jurisdiction's fire marshal. The department shall make publicly available the criteria and analysis utilized in assessing the wildfire hazard and risk.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6120</w:t>
      </w:r>
      <w:r>
        <w:t xml:space="preserve"> -</w:t>
      </w:r>
      <w:r>
        <w:t xml:space="preserve"> </w:t>
        <w:t xml:space="preserve">S AMD</w:t>
      </w:r>
      <w:r>
        <w:t xml:space="preserve"> </w:t>
      </w:r>
      <w:r>
        <w:rPr>
          <w:b/>
        </w:rPr>
        <w:t xml:space="preserve">548</w:t>
      </w:r>
    </w:p>
    <w:p>
      <w:pPr>
        <w:spacing w:before="0" w:after="0" w:line="408" w:lineRule="exact"/>
        <w:ind w:left="0" w:right="0" w:firstLine="576"/>
        <w:jc w:val="left"/>
      </w:pPr>
      <w:r>
        <w:rPr/>
        <w:t xml:space="preserve">By Senator Van De Wege</w:t>
      </w:r>
    </w:p>
    <w:p>
      <w:pPr>
        <w:jc w:val="right"/>
      </w:pPr>
      <w:r>
        <w:rPr>
          <w:b/>
        </w:rPr>
        <w:t xml:space="preserve">ADOPTED 02/07/2024</w:t>
      </w:r>
    </w:p>
    <w:p>
      <w:pPr>
        <w:spacing w:before="0" w:after="0" w:line="408" w:lineRule="exact"/>
        <w:ind w:left="0" w:right="0" w:firstLine="576"/>
        <w:jc w:val="left"/>
      </w:pPr>
      <w:r>
        <w:rPr/>
        <w:t xml:space="preserve">On page 1, line 1 of the title, after "Code;" strike the remainder of the title and insert "amending RCW 19.27.031, 19.27.074, 19.27.560, and 43.30.580; and declaring an emergency."</w:t>
      </w:r>
    </w:p>
    <w:p>
      <w:pPr>
        <w:spacing w:before="0" w:after="0" w:line="408" w:lineRule="exact"/>
        <w:ind w:left="0" w:right="0" w:firstLine="576"/>
        <w:jc w:val="left"/>
      </w:pPr>
      <w:r>
        <w:rPr>
          <w:u w:val="single"/>
        </w:rPr>
        <w:t xml:space="preserve">EFFECT:</w:t>
      </w:r>
      <w:r>
        <w:rPr/>
        <w:t xml:space="preserve"> (1) Clarifies that where jurisdictions choose not to use the model code they are provided with the state amendments, and when a local jurisdiction does not adopt the International Wildland Urban Interface (WUI) Code, they are able to make adjustments to satisfy local conditions.</w:t>
      </w:r>
    </w:p>
    <w:p>
      <w:pPr>
        <w:spacing w:before="0" w:after="0" w:line="408" w:lineRule="exact"/>
        <w:ind w:left="0" w:right="0" w:firstLine="576"/>
        <w:jc w:val="left"/>
      </w:pPr>
      <w:r>
        <w:rPr/>
        <w:t xml:space="preserve">(2) Alters reference to the International WUI Code to ensure building officials statewide have enforcement language consistent with other codes.</w:t>
      </w:r>
    </w:p>
    <w:p>
      <w:pPr>
        <w:spacing w:before="0" w:after="0" w:line="408" w:lineRule="exact"/>
        <w:ind w:left="0" w:right="0" w:firstLine="576"/>
        <w:jc w:val="left"/>
      </w:pPr>
      <w:r>
        <w:rPr/>
        <w:t xml:space="preserve">(3) Clarifies that the State Building Code Council may only consider changes to the International WUI code as outlined in RCW 19.27.560.</w:t>
      </w:r>
    </w:p>
    <w:p>
      <w:pPr>
        <w:spacing w:before="0" w:after="0" w:line="408" w:lineRule="exact"/>
        <w:ind w:left="0" w:right="0" w:firstLine="576"/>
        <w:jc w:val="left"/>
      </w:pPr>
      <w:r>
        <w:rPr/>
        <w:t xml:space="preserve">(4) Requires the Department of Natural Resources (DNR) to develop maps in coordination with the state fire marshal and post the maps to the DNR website.</w:t>
      </w:r>
    </w:p>
    <w:p>
      <w:pPr>
        <w:spacing w:before="0" w:after="0" w:line="408" w:lineRule="exact"/>
        <w:ind w:left="0" w:right="0" w:firstLine="576"/>
        <w:jc w:val="left"/>
      </w:pPr>
      <w:r>
        <w:rPr/>
        <w:t xml:space="preserve">(5) Establishes that local governments may provide map updates to the DNR maps when approved by the local fire marshal.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3168711444a9b" /></Relationships>
</file>