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0e2bd2ec34605"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KING</w:t>
        </w:r>
      </w:r>
      <w:r>
        <w:rPr>
          <w:b/>
        </w:rPr>
        <w:t xml:space="preserve"> </w:t>
        <w:r>
          <w:rPr/>
          <w:t xml:space="preserve">S4995.1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665</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12, beginning on line 13, strike all of subsection (1) and insert the following:</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On page 13, beginning on line 12, strike all of subsection (1) and insert the following:</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On page 14, beginning on line 11, strike all of subsection (1) and insert the following:</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of the utilities' programs or plans in RCW 80.28.365(1) do not increase the annual retail revenue requirement of the utility, after accounting for the benefits of transportation electrification in each year of the plan,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u w:val="single"/>
        </w:rPr>
        <w:t xml:space="preserve">EFFECT:</w:t>
      </w:r>
      <w:r>
        <w:rPr/>
        <w:t xml:space="preserve"> Restores the electric utility rate cap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3b3eca72b4e80" /></Relationships>
</file>