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25e221fc347c1"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S5047.1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684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18, beginning on line 1, after "for" strike all material through "46.04.181" on line 8 and insert "a tire or group of tires with the same stock keeping unit, plant, and year, for which the volume of tires produced or imported is less than 15,000 annually, tires with a nominal rim diameter of 12 inches or less, winter tires, temporary use spare tires, tires manufactured specifically for use in vehicles with three or fewer wheels, competition tires, tires marked with an LT prefix or suffix in the size designation, original equipment tires sold as replacement tires, tires manufactured specifically for use in off-road recreational vehicles, or tires manufactured specifically for use in farm tractors or farm vehicles as defined in RCW 46.04.181"</w:t>
      </w:r>
    </w:p>
    <w:p>
      <w:pPr>
        <w:spacing w:before="0" w:after="0" w:line="408" w:lineRule="exact"/>
        <w:ind w:left="0" w:right="0" w:firstLine="576"/>
        <w:jc w:val="left"/>
      </w:pPr>
      <w:r>
        <w:rPr/>
        <w:t xml:space="preserve">On page 18, line 14, after "tires;" strike "and"</w:t>
      </w:r>
    </w:p>
    <w:p>
      <w:pPr>
        <w:spacing w:before="0" w:after="0" w:line="408" w:lineRule="exact"/>
        <w:ind w:left="0" w:right="0" w:firstLine="576"/>
        <w:jc w:val="left"/>
      </w:pPr>
      <w:r>
        <w:rPr/>
        <w:t xml:space="preserve">On page 18, line 15, after "(vi)" insert "Must prioritize the protection of sensitive aquatic species and reconsider rules under this section should the department of ecology evaluate a potential alternative to N-(1,3-dimethylbutyl)-N'-phenyl-p-phenylenediamine in tires; and</w:t>
      </w:r>
    </w:p>
    <w:p>
      <w:pPr>
        <w:spacing w:before="0" w:after="0" w:line="408" w:lineRule="exact"/>
        <w:ind w:left="0" w:right="0" w:firstLine="576"/>
        <w:jc w:val="left"/>
      </w:pPr>
      <w:r>
        <w:rPr/>
        <w:t xml:space="preserve">(vii)"</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Modifies and adds to the items the department of commerce must provide exemptions for under its rules on the rolling resistance of replacement tires.</w:t>
      </w:r>
    </w:p>
    <w:p>
      <w:pPr>
        <w:spacing w:before="0" w:after="0" w:line="408" w:lineRule="exact"/>
        <w:ind w:left="0" w:right="0" w:firstLine="576"/>
        <w:jc w:val="left"/>
      </w:pPr>
      <w:r>
        <w:rPr/>
        <w:t xml:space="preserve">(2) Provides that the department must prioritize the protection of sensitive aquatic species and reconsider rules under this section should the department of ecology evaluate a potential alternative to N-(1,3-dimethylbutyl)-N'-phenyl-p-phenylenediamine in tires.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ed1527099485d" /></Relationships>
</file>