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ef3bb7af04e3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S5018.1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6304</w:t>
      </w:r>
      <w:r>
        <w:t xml:space="preserve"> -</w:t>
      </w:r>
      <w:r>
        <w:t xml:space="preserve"> </w:t>
        <w:t xml:space="preserve">S AMD TO S AMD (S-4966.2/24)</w:t>
      </w:r>
      <w:r>
        <w:t xml:space="preserve"> </w:t>
      </w:r>
      <w:r>
        <w:rPr>
          <w:b/>
        </w:rPr>
        <w:t xml:space="preserve">657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1, after "</w:t>
      </w:r>
      <w:r>
        <w:rPr>
          <w:u w:val="single"/>
        </w:rPr>
        <w:t xml:space="preserve">comprehensive</w:t>
      </w:r>
      <w:r>
        <w:rPr/>
        <w:t xml:space="preserve">" strike all material through "</w:t>
      </w:r>
      <w:r>
        <w:rPr>
          <w:u w:val="single"/>
        </w:rPr>
        <w:t xml:space="preserve">all</w:t>
      </w:r>
      <w:r>
        <w:rPr/>
        <w:t xml:space="preserve">" on line 2 and insert "</w:t>
      </w:r>
      <w:r>
        <w:rPr>
          <w:u w:val="single"/>
        </w:rPr>
        <w:t xml:space="preserve">inventory of all publicly available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</w:t>
      </w:r>
      <w:r>
        <w:rPr>
          <w:u w:val="single"/>
        </w:rPr>
        <w:t xml:space="preserve">power,</w:t>
      </w:r>
      <w:r>
        <w:rPr/>
        <w:t xml:space="preserve">" strike "</w:t>
      </w:r>
      <w:r>
        <w:rPr>
          <w:u w:val="single"/>
        </w:rPr>
        <w:t xml:space="preserve">utilization,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24, after "</w:t>
      </w:r>
      <w:r>
        <w:rPr>
          <w:u w:val="single"/>
        </w:rPr>
        <w:t xml:space="preserve">(ii)</w:t>
      </w:r>
      <w:r>
        <w:rPr/>
        <w:t xml:space="preserve">" insert "</w:t>
      </w:r>
      <w:r>
        <w:rPr>
          <w:u w:val="single"/>
        </w:rPr>
        <w:t xml:space="preserve">Public charging, with priority for infrastructure that beneficially serves highly impacted communities, vulnerable populations, and charging gaps in geographic areas;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Charging designated for medium and heavy-duty vehicles, such as truck charging hubs;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Workplace charging;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(v) Workforce development programs or services that support accelerated deployment of charging infrastructure, maintenance of electric vehicles, and related services that enable transportation decarbonization;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(vi) Community and community-based organization resourcing and capacity building that result in meaningful community led, codesigned, or endorsed transportation electrification projects or programs;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(vii) Maintenance of existing or future charging equipment;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(viii) Security of charging equipment and related infrastructure to prevent vandalism, theft, or disabling;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(ix)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18, after "</w:t>
      </w:r>
      <w:r>
        <w:rPr>
          <w:u w:val="single"/>
        </w:rPr>
        <w:t xml:space="preserve">2025,</w:t>
      </w:r>
      <w:r>
        <w:rPr/>
        <w:t xml:space="preserve">" insert "</w:t>
      </w:r>
      <w:r>
        <w:rPr>
          <w:u w:val="single"/>
        </w:rPr>
        <w:t xml:space="preserve">when adopting a plan 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Clarifies that Commerce must develop a comprehensive inventory of all publicly available electric vehicle supply equipment (EVSE) in the state by December 31, 2026.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Removes utilization of EVSE as part of required data to collect by Commerce in inventorying EVSE.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Adds additional transportation electrification investment strategies for municipal electric utilities.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Limits implementation of prioritized strategies for public utility districts regarding charging to occur when adopting a transportation electrification plan after July 1, 2025.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6f23acc48492a" /></Relationships>
</file>