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9a988206944dc" /></Relationships>
</file>

<file path=word/document.xml><?xml version="1.0" encoding="utf-8"?>
<w:document xmlns:w="http://schemas.openxmlformats.org/wordprocessingml/2006/main">
  <w:body>
    <w:p>
      <w:r>
        <w:t>H-1475.1</w:t>
      </w:r>
    </w:p>
    <w:p>
      <w:pPr>
        <w:jc w:val="center"/>
      </w:pPr>
      <w:r>
        <w:t>_______________________________________________</w:t>
      </w:r>
    </w:p>
    <w:p/>
    <w:p>
      <w:pPr>
        <w:jc w:val="center"/>
      </w:pPr>
      <w:r>
        <w:rPr>
          <w:b/>
        </w:rPr>
        <w:t>SECOND SUBSTITUTE HOUSE BILL 1028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Ryu, Simmons, Goodman, Reed, Lekanoff, Pollet, Callan, Doglio, Macri, Caldier, Reeves, Wylie, Gregerson, Davis, Ormsby,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43.101.272, 43.101.276, 43.101.278, and 9A.04.080; adding a new section to chapter 43.10 RCW; adding new sections to chapter 43.101 RCW; adding a new section to chapter 70.02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provide technical assistance and research to prosecutors for prosecuting sexual assault cases;</w:t>
      </w:r>
    </w:p>
    <w:p>
      <w:pPr>
        <w:spacing w:before="0" w:after="0" w:line="408" w:lineRule="exact"/>
        <w:ind w:left="0" w:right="0" w:firstLine="576"/>
        <w:jc w:val="left"/>
      </w:pPr>
      <w:r>
        <w:rPr/>
        <w:t xml:space="preserve">(b)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(c)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(d) To consult with the commission, the office of the attorney general, and the sexual assault forensic examination best practices advisory group under section 1 of this act with respect to developing and implementing best practices for prosecuting sexual assault cases across the state; and</w:t>
      </w:r>
    </w:p>
    <w:p>
      <w:pPr>
        <w:spacing w:before="0" w:after="0" w:line="408" w:lineRule="exact"/>
        <w:ind w:left="0" w:right="0" w:firstLine="576"/>
        <w:jc w:val="left"/>
      </w:pPr>
      <w:r>
        <w:rPr/>
        <w:t xml:space="preserve">(e)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1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w:t>
      </w:r>
      <w:r>
        <w:t>((</w:t>
      </w:r>
      <w:r>
        <w:rPr>
          <w:strike/>
        </w:rPr>
        <w:t xml:space="preserve">cases</w:t>
      </w:r>
      <w:r>
        <w:t>))</w:t>
      </w:r>
      <w:r>
        <w:rPr/>
        <w:t xml:space="preserve"> </w:t>
      </w:r>
      <w:r>
        <w:rPr>
          <w:u w:val="single"/>
        </w:rPr>
        <w:t xml:space="preserve">and other gender-based violence</w:t>
      </w:r>
      <w:r>
        <w:rPr/>
        <w:t xml:space="preserve"> involving adult victims</w:t>
      </w:r>
      <w:r>
        <w:rPr>
          <w:u w:val="single"/>
        </w:rPr>
        <w:t xml:space="preserve">, and the highest ranking supervisors and commanders overseeing sexual assault and other gender-based violence investigations</w:t>
      </w:r>
      <w:r>
        <w:rPr/>
        <w:t xml:space="preserve">.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w:t>
      </w:r>
      <w:r>
        <w:rPr>
          <w:u w:val="single"/>
        </w:rPr>
        <w:t xml:space="preserve">and other gender-based violence</w:t>
      </w:r>
      <w:r>
        <w:rPr/>
        <w:t xml:space="preserve"> involving adult victims </w:t>
      </w:r>
      <w:r>
        <w:rPr>
          <w:u w:val="single"/>
        </w:rPr>
        <w:t xml:space="preserve">and the highest ranking supervisors and commanders overseeing those investigations</w:t>
      </w:r>
      <w:r>
        <w:rPr/>
        <w:t xml:space="preserve">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 Be </w:t>
      </w:r>
      <w:r>
        <w:t>((</w:t>
      </w:r>
      <w:r>
        <w:rPr>
          <w:strike/>
        </w:rPr>
        <w:t xml:space="preserve">designed for commissioned patrol officers not regularly assigned to investigate sexual assault cases; be</w:t>
      </w:r>
      <w:r>
        <w:t>))</w:t>
      </w:r>
      <w:r>
        <w:rPr/>
        <w:t xml:space="preserve"> designed for deployment and use within individual law enforcement agencies; include features allowing for it to be used in different environments, which may include multimedia or video components; </w:t>
      </w:r>
      <w:r>
        <w:rPr>
          <w:u w:val="single"/>
        </w:rPr>
        <w:t xml:space="preserve">and</w:t>
      </w:r>
      <w:r>
        <w:rPr/>
        <w:t xml:space="preserve">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w:t>
      </w:r>
      <w:r>
        <w:rPr>
          <w:u w:val="single"/>
        </w:rPr>
        <w:t xml:space="preserve">A comparison of cases involving prosecutors who have participated in the training described in section 6 of this act to cases involving prosecutors who have not participated in such training;</w:t>
      </w:r>
    </w:p>
    <w:p>
      <w:pPr>
        <w:spacing w:before="0" w:after="0" w:line="408" w:lineRule="exact"/>
        <w:ind w:left="0" w:right="0" w:firstLine="576"/>
        <w:jc w:val="left"/>
      </w:pPr>
      <w:r>
        <w:rPr>
          <w:u w:val="single"/>
        </w:rPr>
        <w:t xml:space="preserve">(d)</w:t>
      </w:r>
      <w:r>
        <w:rPr/>
        <w:t xml:space="preserve">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partnership with the special resource prosecutor under section 2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two</w:t>
      </w:r>
      <w:r>
        <w:t>))</w:t>
      </w:r>
      <w:r>
        <w:rPr/>
        <w:t xml:space="preserve"> </w:t>
      </w:r>
      <w:r>
        <w:rPr>
          <w:u w:val="single"/>
        </w:rPr>
        <w:t xml:space="preserve">four</w:t>
      </w:r>
      <w:r>
        <w:rPr/>
        <w:t xml:space="preserve">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60ec55542ca1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27819486b74ee0" /><Relationship Type="http://schemas.openxmlformats.org/officeDocument/2006/relationships/footer" Target="/word/footer1.xml" Id="R60ec55542ca14f05" /></Relationships>
</file>