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ff7f3e845c423e" /></Relationships>
</file>

<file path=word/document.xml><?xml version="1.0" encoding="utf-8"?>
<w:document xmlns:w="http://schemas.openxmlformats.org/wordprocessingml/2006/main">
  <w:body>
    <w:p>
      <w:r>
        <w:t>H-0146.2</w:t>
      </w:r>
    </w:p>
    <w:p>
      <w:pPr>
        <w:jc w:val="center"/>
      </w:pPr>
      <w:r>
        <w:t>_______________________________________________</w:t>
      </w:r>
    </w:p>
    <w:p/>
    <w:p>
      <w:pPr>
        <w:jc w:val="center"/>
      </w:pPr>
      <w:r>
        <w:rPr>
          <w:b/>
        </w:rPr>
        <w:t>HOUSE BILL 1028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Mosbrucker, Ryu, Simmons, Goodman, Reed, Lekanoff, Pollet, Callan, Doglio, Macri, Caldier, Reeves, Wylie, Gregerson, Davis, Ormsby, and Fosse</w:t>
      </w:r>
    </w:p>
    <w:p/>
    <w:p>
      <w:r>
        <w:rPr>
          <w:t xml:space="preserve">Prefiled 12/12/22.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5.70.040, 5.70.050, 5.70.060, 9A.04.080, 43.101.272, 43.101.276, 43.101.278, 7.68.170, 43.43.545, 7.68.380, 43.185C.260, and 7.69.030; adding a new section to chapter 43.10 RCW; adding new sections to chapter 43.101 RCW; adding a new section to chapter 43.280 RCW; adding a new section to chapter 70.02 RCW; adding a new section to chapter 7.68 RCW; creating a new section; repealing RCW 43.101.270;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INVESTIGATIONS AND PROSECUTIONS OF SEXUAL ASSAULT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sexual assault is a devastating crime affecting thousands of Washingtonians. For this reason, the state has engaged in a multiyear effort to implement victim-centered and trauma-informed practices for responding to sexual assault across the criminal legal system. With the support of state funding and the sexual assault kit initiative, the Washington state crime laboratory has conducted the testing of over 10,000 previously unsubmitted sexual assault kits, and has expanded testing capacity to ensure all sexual assault kits will be tested within 45 days of submission going forward. Yet testing alone is not enough.</w:t>
      </w:r>
    </w:p>
    <w:p>
      <w:pPr>
        <w:spacing w:before="0" w:after="0" w:line="408" w:lineRule="exact"/>
        <w:ind w:left="0" w:right="0" w:firstLine="576"/>
        <w:jc w:val="left"/>
      </w:pPr>
      <w:r>
        <w:rPr/>
        <w:t xml:space="preserve">Each report of sexual assault should be investigated at the local level, regardless of the status of any sexual assault kit. All sexual assault survivors deserve to be treated with respect and dignity, and that begins with investigating every report of sexual assault. Further, thorough and professional investigations are imperative for public safety. Recent research demonstrates that the majority of perpetrators commit multiple assaults over their lifetime. Despite this, perpetrators often evade accountability and prosecution. This needs to change. By improving forensic testing, conducting thorough investigations of each report, and implementing best practices for all practitioners, the state can successfully bring perpetrators to justice and prevent further victimization. Therefore, the legislature intends to expand efforts to improve investigations and prosecutions by requiring timely investigations of sexual assault cases with CODIS hits, and requiring regular reporting on the status of those cases. Access to these reports will provide policymakers and practitioners with critical insights as implementation continues with broader reform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040</w:t>
      </w:r>
      <w:r>
        <w:rPr/>
        <w:t xml:space="preserve"> and 2020 c 26 s 4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t xml:space="preserve">(4) </w:t>
      </w:r>
      <w:r>
        <w:rPr>
          <w:u w:val="single"/>
        </w:rPr>
        <w:t xml:space="preserve">When forensic analysis of a sexual assault kit submitted under this section generates a profile resulting in a hit in the combined DNA index system, the applicable general law enforcement agency shall conduct a criminal investigation of any report connected to the sexual assault kit within 90 days.</w:t>
      </w:r>
    </w:p>
    <w:p>
      <w:pPr>
        <w:spacing w:before="0" w:after="0" w:line="408" w:lineRule="exact"/>
        <w:ind w:left="0" w:right="0" w:firstLine="576"/>
        <w:jc w:val="left"/>
      </w:pPr>
      <w:r>
        <w:rPr>
          <w:u w:val="single"/>
        </w:rPr>
        <w:t xml:space="preserve">(5)</w:t>
      </w:r>
      <w:r>
        <w:rPr/>
        <w:t xml:space="preserve"> The failure of a law enforcement agency </w:t>
      </w:r>
      <w:r>
        <w:t>((</w:t>
      </w:r>
      <w:r>
        <w:rPr>
          <w:strike/>
        </w:rPr>
        <w:t xml:space="preserve">to submit a request for laboratory examination,</w:t>
      </w:r>
      <w:r>
        <w:t>))</w:t>
      </w:r>
      <w:r>
        <w:rPr/>
        <w:t xml:space="preserve"> or the </w:t>
      </w:r>
      <w:r>
        <w:t>((</w:t>
      </w:r>
      <w:r>
        <w:rPr>
          <w:strike/>
        </w:rPr>
        <w:t xml:space="preserve">failure of the</w:t>
      </w:r>
      <w:r>
        <w:t>))</w:t>
      </w:r>
      <w:r>
        <w:rPr/>
        <w:t xml:space="preserve"> Washington state patrol to </w:t>
      </w:r>
      <w:r>
        <w:t>((</w:t>
      </w:r>
      <w:r>
        <w:rPr>
          <w:strike/>
        </w:rPr>
        <w:t xml:space="preserve">facilitate laboratory examination,</w:t>
      </w:r>
      <w:r>
        <w:t>))</w:t>
      </w:r>
      <w:r>
        <w:rPr/>
        <w:t xml:space="preserve"> </w:t>
      </w:r>
      <w:r>
        <w:rPr>
          <w:u w:val="single"/>
        </w:rPr>
        <w:t xml:space="preserve">complete the requirements under this section</w:t>
      </w:r>
      <w:r>
        <w:rPr/>
        <w:t xml:space="preserve">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sexual assault examinations performed on or after July 24, 2015.</w:t>
      </w:r>
    </w:p>
    <w:p>
      <w:pPr>
        <w:spacing w:before="0" w:after="0" w:line="408" w:lineRule="exact"/>
        <w:ind w:left="0" w:right="0" w:firstLine="576"/>
        <w:jc w:val="left"/>
      </w:pPr>
      <w:r>
        <w:t>((</w:t>
      </w:r>
      <w:r>
        <w:rPr>
          <w:strike/>
        </w:rPr>
        <w:t xml:space="preserve">(8)(a) Until June 30, 2023, the</w:t>
      </w:r>
      <w:r>
        <w:t>))</w:t>
      </w:r>
      <w:r>
        <w:rPr/>
        <w:t xml:space="preserve"> </w:t>
      </w:r>
      <w:r>
        <w:rPr>
          <w:u w:val="single"/>
        </w:rPr>
        <w:t xml:space="preserve">(a) The</w:t>
      </w:r>
      <w:r>
        <w:rPr/>
        <w:t xml:space="preserve"> Washington state patrol shall compile the following information related to the sexual assault kits identified in this section and RCW 5.70.050:</w:t>
      </w:r>
    </w:p>
    <w:p>
      <w:pPr>
        <w:spacing w:before="0" w:after="0" w:line="408" w:lineRule="exact"/>
        <w:ind w:left="0" w:right="0" w:firstLine="576"/>
        <w:jc w:val="left"/>
      </w:pPr>
      <w:r>
        <w:rPr/>
        <w:t xml:space="preserve">(i) The </w:t>
      </w:r>
      <w:r>
        <w:rPr>
          <w:u w:val="single"/>
        </w:rPr>
        <w:t xml:space="preserve">total</w:t>
      </w:r>
      <w:r>
        <w:rPr/>
        <w:t xml:space="preserve"> number of requests </w:t>
      </w:r>
      <w:r>
        <w:rPr>
          <w:u w:val="single"/>
        </w:rPr>
        <w:t xml:space="preserve">and the number of requests occurring in the previous 12 months</w:t>
      </w:r>
      <w:r>
        <w:rPr/>
        <w:t xml:space="preserve"> for laboratory examination </w:t>
      </w:r>
      <w:r>
        <w:t>((</w:t>
      </w:r>
      <w:r>
        <w:rPr>
          <w:strike/>
        </w:rPr>
        <w:t xml:space="preserve">made for</w:t>
      </w:r>
      <w:r>
        <w:t>))</w:t>
      </w:r>
      <w:r>
        <w:rPr/>
        <w:t xml:space="preserve"> </w:t>
      </w:r>
      <w:r>
        <w:rPr>
          <w:u w:val="single"/>
        </w:rPr>
        <w:t xml:space="preserve">of</w:t>
      </w:r>
      <w:r>
        <w:rPr/>
        <w:t xml:space="preserve"> sexual assault kits and the law enforcement agencies that submitted the requests; </w:t>
      </w:r>
      <w:r>
        <w:t>((</w:t>
      </w:r>
      <w:r>
        <w:rPr>
          <w:strike/>
        </w:rPr>
        <w:t xml:space="preserve">and</w:t>
      </w:r>
      <w:r>
        <w:t>))</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r>
        <w:rPr>
          <w:u w:val="single"/>
        </w:rPr>
        <w:t xml:space="preserve">; and</w:t>
      </w:r>
    </w:p>
    <w:p>
      <w:pPr>
        <w:spacing w:before="0" w:after="0" w:line="408" w:lineRule="exact"/>
        <w:ind w:left="0" w:right="0" w:firstLine="576"/>
        <w:jc w:val="left"/>
      </w:pPr>
      <w:r>
        <w:rPr>
          <w:u w:val="single"/>
        </w:rPr>
        <w:t xml:space="preserve">(iii) The total number of hits and the number of hits occurring in the previous 12 months in the combined DNA index system connected to forensic analysis of sexual assault kits under this section</w:t>
      </w:r>
      <w:r>
        <w:rPr/>
        <w:t xml:space="preserve">.</w:t>
      </w:r>
    </w:p>
    <w:p>
      <w:pPr>
        <w:spacing w:before="0" w:after="0" w:line="408" w:lineRule="exact"/>
        <w:ind w:left="0" w:right="0" w:firstLine="576"/>
        <w:jc w:val="left"/>
      </w:pPr>
      <w:r>
        <w:rPr/>
        <w:t xml:space="preserve">(b) The </w:t>
      </w:r>
      <w:r>
        <w:t>((</w:t>
      </w:r>
      <w:r>
        <w:rPr>
          <w:strike/>
        </w:rPr>
        <w:t xml:space="preserve">Washington state patrol shall make recommendations for increasing the progress on testing any untested sexual assault kits.</w:t>
      </w:r>
    </w:p>
    <w:p>
      <w:pPr>
        <w:spacing w:before="0" w:after="0" w:line="408" w:lineRule="exact"/>
        <w:ind w:left="0" w:right="0" w:firstLine="576"/>
        <w:jc w:val="left"/>
      </w:pPr>
      <w:r>
        <w:rPr>
          <w:strike/>
        </w:rPr>
        <w:t xml:space="preserve">(c) Beginning in 2015, the</w:t>
      </w:r>
      <w:r>
        <w:t>))</w:t>
      </w:r>
      <w:r>
        <w:rPr/>
        <w:t xml:space="preserve"> Washington state patrol shall </w:t>
      </w:r>
      <w:r>
        <w:rPr>
          <w:u w:val="single"/>
        </w:rPr>
        <w:t xml:space="preserve">submit an annual</w:t>
      </w:r>
      <w:r>
        <w:rPr/>
        <w:t xml:space="preserve"> report </w:t>
      </w:r>
      <w:r>
        <w:t>((</w:t>
      </w:r>
      <w:r>
        <w:rPr>
          <w:strike/>
        </w:rPr>
        <w:t xml:space="preserve">its findings and recommendations annually</w:t>
      </w:r>
      <w:r>
        <w:t>))</w:t>
      </w:r>
      <w:r>
        <w:rPr/>
        <w:t xml:space="preserve"> </w:t>
      </w:r>
      <w:r>
        <w:rPr>
          <w:u w:val="single"/>
        </w:rPr>
        <w:t xml:space="preserve">with the information required by this section</w:t>
      </w:r>
      <w:r>
        <w:rPr/>
        <w:t xml:space="preserve"> to the appropriate committees of the legislature and the governor by </w:t>
      </w:r>
      <w:r>
        <w:t>((</w:t>
      </w:r>
      <w:r>
        <w:rPr>
          <w:strike/>
        </w:rPr>
        <w:t xml:space="preserve">December 1st</w:t>
      </w:r>
      <w:r>
        <w:t>))</w:t>
      </w:r>
      <w:r>
        <w:rPr/>
        <w:t xml:space="preserve"> </w:t>
      </w:r>
      <w:r>
        <w:rPr>
          <w:u w:val="single"/>
        </w:rPr>
        <w:t xml:space="preserve">July 31st</w:t>
      </w:r>
      <w:r>
        <w:rPr/>
        <w:t xml:space="preserve"> of each year.</w:t>
      </w:r>
    </w:p>
    <w:p>
      <w:pPr>
        <w:spacing w:before="0" w:after="0" w:line="408" w:lineRule="exact"/>
        <w:ind w:left="0" w:right="0" w:firstLine="576"/>
        <w:jc w:val="left"/>
      </w:pPr>
      <w:r>
        <w:rPr>
          <w:u w:val="single"/>
        </w:rPr>
        <w:t xml:space="preserve">(c) The Washington state patrol may submit the information under (a) of this subsection with the report required by RCW 43.43.545, in which case a separate report under this section is not required.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050</w:t>
      </w:r>
      <w:r>
        <w:rPr/>
        <w:t xml:space="preserve"> and 2020 c 26 s 5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5.70.040(2).</w:t>
      </w:r>
    </w:p>
    <w:p>
      <w:pPr>
        <w:spacing w:before="0" w:after="0" w:line="408" w:lineRule="exact"/>
        <w:ind w:left="0" w:right="0" w:firstLine="576"/>
        <w:jc w:val="left"/>
      </w:pPr>
      <w:r>
        <w:rPr/>
        <w:t xml:space="preserve">(3) 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t xml:space="preserve">(4) </w:t>
      </w:r>
      <w:r>
        <w:rPr>
          <w:u w:val="single"/>
        </w:rPr>
        <w:t xml:space="preserve">When forensic analysis of a sexual assault kit submitted under this section generates a profile resulting in a hit in the combined DNA index system, the applicable general law enforcement agency shall conduct a criminal investigation of any report connected to the sexual assault kit within 90 days.</w:t>
      </w:r>
    </w:p>
    <w:p>
      <w:pPr>
        <w:spacing w:before="0" w:after="0" w:line="408" w:lineRule="exact"/>
        <w:ind w:left="0" w:right="0" w:firstLine="576"/>
        <w:jc w:val="left"/>
      </w:pPr>
      <w:r>
        <w:rPr>
          <w:u w:val="single"/>
        </w:rPr>
        <w:t xml:space="preserve">(5)</w:t>
      </w:r>
      <w:r>
        <w:rPr/>
        <w:t xml:space="preserve"> The failure of a law enforcement agency to </w:t>
      </w:r>
      <w:r>
        <w:t>((</w:t>
      </w:r>
      <w:r>
        <w:rPr>
          <w:strike/>
        </w:rPr>
        <w:t xml:space="preserve">submit a request for laboratory examination</w:t>
      </w:r>
      <w:r>
        <w:t>))</w:t>
      </w:r>
      <w:r>
        <w:rPr/>
        <w:t xml:space="preserve"> </w:t>
      </w:r>
      <w:r>
        <w:rPr>
          <w:u w:val="single"/>
        </w:rPr>
        <w:t xml:space="preserve">comply with the requirements under this section</w:t>
      </w:r>
      <w:r>
        <w:rPr/>
        <w:t xml:space="preserve">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060</w:t>
      </w:r>
      <w:r>
        <w:rPr/>
        <w:t xml:space="preserve"> and 2021 c 118 s 2 are each amended to read as follows:</w:t>
      </w:r>
    </w:p>
    <w:p>
      <w:pPr>
        <w:spacing w:before="0" w:after="0" w:line="408" w:lineRule="exact"/>
        <w:ind w:left="0" w:right="0" w:firstLine="576"/>
        <w:jc w:val="left"/>
      </w:pPr>
      <w:r>
        <w:rPr/>
        <w:t xml:space="preserve">(1) For any sexual assault kit </w:t>
      </w:r>
      <w:r>
        <w:t>((</w:t>
      </w:r>
      <w:r>
        <w:rPr>
          <w:strike/>
        </w:rPr>
        <w:t xml:space="preserve">under RCW 5.70.050</w:t>
      </w:r>
      <w:r>
        <w:t>))</w:t>
      </w:r>
      <w:r>
        <w:rPr/>
        <w:t xml:space="preserve"> where forensic analysis has generated a profile that has resulted in a hit in the combined DNA index system, the office of the attorney general shall request information from the applicable law enforcement agency and prosecuting attorney as to the case status of any related criminal investigation and prosecution, including information as provided under RCW 5.70.005(5) as well as any other relevant information. The law enforcement agency and prosecuting attorney shall provide requested case status updates to the office of the attorney general. The office of the attorney general shall consult with the association when developing any procedures for requesting and collecting case status updates under this section.</w:t>
      </w:r>
    </w:p>
    <w:p>
      <w:pPr>
        <w:spacing w:before="0" w:after="0" w:line="408" w:lineRule="exact"/>
        <w:ind w:left="0" w:right="0" w:firstLine="576"/>
        <w:jc w:val="left"/>
      </w:pPr>
      <w:r>
        <w:rPr/>
        <w:t xml:space="preserve">(2) Nothing in this section may be interpreted to require any law enforcement agency or prosecuting attorney to disclose any information that would jeopardize an active criminal investigation or prosecution.</w:t>
      </w:r>
    </w:p>
    <w:p>
      <w:pPr>
        <w:spacing w:before="0" w:after="0" w:line="408" w:lineRule="exact"/>
        <w:ind w:left="0" w:right="0" w:firstLine="576"/>
        <w:jc w:val="left"/>
      </w:pPr>
      <w:r>
        <w:rPr/>
        <w:t xml:space="preserve">(3) The attorney general's office shall report quarterly to the association the investigational status of any sexual assault kit under RCW 5.70.050.</w:t>
      </w:r>
    </w:p>
    <w:p>
      <w:pPr>
        <w:spacing w:before="0" w:after="0" w:line="408" w:lineRule="exact"/>
        <w:ind w:left="0" w:right="0" w:firstLine="576"/>
        <w:jc w:val="left"/>
      </w:pPr>
      <w:r>
        <w:rPr/>
        <w:t xml:space="preserve">(4) Beginning in 2022, in consultation with the attorney general's office, the association must submit reports on the information collected pursuant to this section to the governor and appropriate committees of the legislature by January 1st and July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partner with the commission on the development and implementation of training under section 8 of this act;</w:t>
      </w:r>
    </w:p>
    <w:p>
      <w:pPr>
        <w:spacing w:before="0" w:after="0" w:line="408" w:lineRule="exact"/>
        <w:ind w:left="0" w:right="0" w:firstLine="576"/>
        <w:jc w:val="left"/>
      </w:pPr>
      <w:r>
        <w:rPr/>
        <w:t xml:space="preserve">(b) To provide technical assistance and research to prosecutors for prosecuting sexual assault cases;</w:t>
      </w:r>
    </w:p>
    <w:p>
      <w:pPr>
        <w:spacing w:before="0" w:after="0" w:line="408" w:lineRule="exact"/>
        <w:ind w:left="0" w:right="0" w:firstLine="576"/>
        <w:jc w:val="left"/>
      </w:pPr>
      <w:r>
        <w:rPr/>
        <w:t xml:space="preserve">(c)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(d)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(e) To consult with the commission, the office of the attorney general, and the sexual assault forensic examination best practices advisory group under section 6 of this act with respect to developing and implementing best practices for prosecuting sexual assault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6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competitive grant program to support regional multidisciplinary community response teams engaged in seeking a just resolution to sexual assault cases. The department of commerce shall:</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Adopt necessary policies and procedures to implement and administer the program;</w:t>
      </w:r>
    </w:p>
    <w:p>
      <w:pPr>
        <w:spacing w:before="0" w:after="0" w:line="408" w:lineRule="exact"/>
        <w:ind w:left="0" w:right="0" w:firstLine="576"/>
        <w:jc w:val="left"/>
      </w:pPr>
      <w:r>
        <w:rPr/>
        <w:t xml:space="preserve">(d) Monitor use of grant funds and compliance with the grant requirements;</w:t>
      </w:r>
    </w:p>
    <w:p>
      <w:pPr>
        <w:spacing w:before="0" w:after="0" w:line="408" w:lineRule="exact"/>
        <w:ind w:left="0" w:right="0" w:firstLine="576"/>
        <w:jc w:val="left"/>
      </w:pPr>
      <w:r>
        <w:rPr/>
        <w:t xml:space="preserve">(e) Create and implement reporting requirements for grant recipients; and</w:t>
      </w:r>
    </w:p>
    <w:p>
      <w:pPr>
        <w:spacing w:before="0" w:after="0" w:line="408" w:lineRule="exact"/>
        <w:ind w:left="0" w:right="0" w:firstLine="576"/>
        <w:jc w:val="left"/>
      </w:pPr>
      <w:r>
        <w:rPr/>
        <w:t xml:space="preserve">(f) Report to the appropriate committees of the legislature and the governor by December 1st of each year regarding the status of grant award.</w:t>
      </w:r>
    </w:p>
    <w:p>
      <w:pPr>
        <w:spacing w:before="0" w:after="0" w:line="408" w:lineRule="exact"/>
        <w:ind w:left="0" w:right="0" w:firstLine="576"/>
        <w:jc w:val="left"/>
      </w:pPr>
      <w:r>
        <w:rPr/>
        <w:t xml:space="preserve">(2) Grant recipients must:</w:t>
      </w:r>
    </w:p>
    <w:p>
      <w:pPr>
        <w:spacing w:before="0" w:after="0" w:line="408" w:lineRule="exact"/>
        <w:ind w:left="0" w:right="0" w:firstLine="576"/>
        <w:jc w:val="left"/>
      </w:pPr>
      <w:r>
        <w:rPr/>
        <w:t xml:space="preserve">(a) Establish a multidisciplinary sexual assault investigation team or teams for conducting investigations and prosecutions of sexual assault, which must include prosecutors, law enforcement, and victim advocates; and</w:t>
      </w:r>
    </w:p>
    <w:p>
      <w:pPr>
        <w:spacing w:before="0" w:after="0" w:line="408" w:lineRule="exact"/>
        <w:ind w:left="0" w:right="0" w:firstLine="576"/>
        <w:jc w:val="left"/>
      </w:pPr>
      <w:r>
        <w:rPr/>
        <w:t xml:space="preserve">(b) Require participants in the sexual assault investigation team or teams to participate in and complete specialized training for victim-centered, trauma-informed investigation and prosecutions, including the training offered through the criminal justice training commission.</w:t>
      </w:r>
    </w:p>
    <w:p>
      <w:pPr>
        <w:spacing w:before="0" w:after="0" w:line="408" w:lineRule="exact"/>
        <w:ind w:left="0" w:right="0" w:firstLine="576"/>
        <w:jc w:val="left"/>
      </w:pPr>
      <w:r>
        <w:rPr/>
        <w:t xml:space="preserve">(3) Grant funds may also support personnel costs, including hiring and overtime, to allow for adequate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(4) Subject to the availability of amounts appropriated for this specific purpose,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(5) In developing and administering the grant program under this section, the department of commerce shall consult with the special resource prosecutor under section 7 of this act and the sexual assault forensic examination best practices advisory group.</w:t>
      </w:r>
    </w:p>
    <w:p>
      <w:pPr>
        <w:spacing w:before="0" w:after="0" w:line="408" w:lineRule="exact"/>
        <w:ind w:left="0" w:right="0" w:firstLine="576"/>
        <w:jc w:val="left"/>
      </w:pPr>
      <w:r>
        <w:rPr/>
        <w:t xml:space="preserve">(6) For the purposes of this section, "eligible applicants" include: Law enforcement agencies,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w:t>
      </w:r>
      <w:r>
        <w:t>((</w:t>
      </w:r>
      <w:r>
        <w:rPr>
          <w:strike/>
        </w:rPr>
        <w:t xml:space="preserve">: Be designed for commissioned patrol officers not regularly assigned to investigate sexual assault cases; be designed for deployment and use within individual law enforcement agencies;</w:t>
      </w:r>
      <w:r>
        <w:t>))</w:t>
      </w:r>
      <w:r>
        <w:rPr/>
        <w:t xml:space="preserve"> include features allowing for it to be used in different environments, which may include multimedia or video components</w:t>
      </w:r>
      <w:r>
        <w:t>((</w:t>
      </w:r>
      <w:r>
        <w:rPr>
          <w:strike/>
        </w:rPr>
        <w:t xml:space="preserve">; allow for law enforcement agencies to host it in small segments at different times over several days or weeks, including roll calls</w:t>
      </w:r>
      <w:r>
        <w:t>))</w:t>
      </w:r>
      <w:r>
        <w:rPr/>
        <w:t xml:space="preserve">.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participated in training to cases involving investigators </w:t>
      </w:r>
      <w:r>
        <w:t>((</w:t>
      </w:r>
      <w:r>
        <w:rPr>
          <w:strike/>
        </w:rPr>
        <w:t xml:space="preserve">and</w:t>
      </w:r>
      <w:r>
        <w:t>))</w:t>
      </w:r>
      <w:r>
        <w:rPr>
          <w:u w:val="single"/>
        </w:rPr>
        <w:t xml:space="preserve">,</w:t>
      </w:r>
      <w:r>
        <w:rPr/>
        <w:t xml:space="preserve"> interviewers</w:t>
      </w:r>
      <w:r>
        <w:rPr>
          <w:u w:val="single"/>
        </w:rPr>
        <w:t xml:space="preserve">, and prosecutors</w:t>
      </w:r>
      <w:r>
        <w:rPr/>
        <w:t xml:space="preserve">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7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FORENSIC EXAMINATIONS AND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u w:val="single"/>
        </w:rPr>
        <w:t xml:space="preserve">(1)</w:t>
      </w:r>
      <w:r>
        <w:rPr/>
        <w:t xml:space="preserve"> No costs incurred by a hospital or other emergency medical facility </w:t>
      </w:r>
      <w:r>
        <w:rPr>
          <w:u w:val="single"/>
        </w:rPr>
        <w:t xml:space="preserve">located in the state</w:t>
      </w:r>
      <w:r>
        <w:rPr/>
        <w:t xml:space="preserve"> for the examination of the victim of a sexual assault, when such examination is performed for the purposes of gathering evidence for possible prosecution, shall be billed or charged directly or indirectly to the victim of such assault</w:t>
      </w:r>
      <w:r>
        <w:rPr>
          <w:u w:val="single"/>
        </w:rPr>
        <w:t xml:space="preserve">, regardless of whether the victim is a state resident</w:t>
      </w:r>
      <w:r>
        <w:rPr/>
        <w:t xml:space="preserve">. Such costs shall be paid by the state pursuant to this chapter.</w:t>
      </w:r>
    </w:p>
    <w:p>
      <w:pPr>
        <w:spacing w:before="0" w:after="0" w:line="408" w:lineRule="exact"/>
        <w:ind w:left="0" w:right="0" w:firstLine="576"/>
        <w:jc w:val="left"/>
      </w:pPr>
      <w:r>
        <w:rPr>
          <w:u w:val="single"/>
        </w:rPr>
        <w:t xml:space="preserve">(2) A sexual assault victim who is a state resident and who receives an examination performed for the purposes of gathering evidence for possible prosecution by a hospital or other emergency medical facility located outside of the state may seek reimbursement for any costs charged to him or her by the hospital or facility, and those costs shall be reimbursed by the state pursuant to this chapter. The department may establish arrangements with any hospital or facility located out of state to allow costs for examinations of state residents to be paid according to the same procedures under subsection (1) of this section so as to prevent such residents from being charged directly or indirectly for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the appropriate committees of the legislature, and the governor. The Washington state patrol may publish the current report on its website. The </w:t>
      </w:r>
      <w:r>
        <w:t>((</w:t>
      </w:r>
      <w:r>
        <w:rPr>
          <w:strike/>
        </w:rPr>
        <w:t xml:space="preserve">first report is due July 31, 2018, and subsequent reports are</w:t>
      </w:r>
      <w:r>
        <w:t>))</w:t>
      </w:r>
      <w:r>
        <w:rPr/>
        <w:t xml:space="preserve"> </w:t>
      </w:r>
      <w:r>
        <w:rPr>
          <w:u w:val="single"/>
        </w:rPr>
        <w:t xml:space="preserve">annual report is</w:t>
      </w:r>
      <w:r>
        <w:rPr/>
        <w:t xml:space="preserve"> due </w:t>
      </w:r>
      <w:r>
        <w:t>((</w:t>
      </w:r>
      <w:r>
        <w:rPr>
          <w:strike/>
        </w:rPr>
        <w:t xml:space="preserve">January 31st and</w:t>
      </w:r>
      <w:r>
        <w:t>))</w:t>
      </w:r>
      <w:r>
        <w:rPr/>
        <w:t xml:space="preserve">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SERVICES AND SUPPORT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380</w:t>
      </w:r>
      <w:r>
        <w:rPr/>
        <w:t xml:space="preserve"> and 2020 c 331 s 2 are each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w:t>
      </w:r>
      <w:r>
        <w:t>((</w:t>
      </w:r>
      <w:r>
        <w:rPr>
          <w:strike/>
        </w:rPr>
        <w:t xml:space="preserve">two</w:t>
      </w:r>
      <w:r>
        <w:t>))</w:t>
      </w:r>
      <w:r>
        <w:rPr/>
        <w:t xml:space="preserve"> receiving center programs for commercially sexually exploited children. </w:t>
      </w:r>
      <w:r>
        <w:t>((</w:t>
      </w:r>
      <w:r>
        <w:rPr>
          <w:strike/>
        </w:rPr>
        <w:t xml:space="preserve">One</w:t>
      </w:r>
      <w:r>
        <w:t>))</w:t>
      </w:r>
      <w:r>
        <w:rPr/>
        <w:t xml:space="preserve"> </w:t>
      </w:r>
      <w:r>
        <w:rPr>
          <w:u w:val="single"/>
        </w:rPr>
        <w:t xml:space="preserve">At least one</w:t>
      </w:r>
      <w:r>
        <w:rPr/>
        <w:t xml:space="preserve"> of these programs must be located west of the crest of the Cascade mountains</w:t>
      </w:r>
      <w:r>
        <w:rPr>
          <w:u w:val="single"/>
        </w:rPr>
        <w:t xml:space="preserve">,</w:t>
      </w:r>
      <w:r>
        <w:rPr/>
        <w:t xml:space="preserve"> and </w:t>
      </w:r>
      <w:r>
        <w:rPr>
          <w:u w:val="single"/>
        </w:rPr>
        <w:t xml:space="preserve">at least</w:t>
      </w:r>
      <w:r>
        <w:rPr/>
        <w:t xml:space="preserve">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w:t>
      </w:r>
      <w:r>
        <w:t>((</w:t>
      </w:r>
      <w:r>
        <w:rPr>
          <w:strike/>
        </w:rPr>
        <w:t xml:space="preserve">The receiving center programs established under this section shall:</w:t>
      </w:r>
    </w:p>
    <w:p>
      <w:pPr>
        <w:spacing w:before="0" w:after="0" w:line="408" w:lineRule="exact"/>
        <w:ind w:left="0" w:right="0" w:firstLine="576"/>
        <w:jc w:val="left"/>
      </w:pPr>
      <w:r>
        <w:rPr>
          <w:strike/>
        </w:rPr>
        <w:t xml:space="preserve">(a) Begin providing services by January 1, 2021;</w:t>
      </w:r>
    </w:p>
    <w:p>
      <w:pPr>
        <w:spacing w:before="0" w:after="0" w:line="408" w:lineRule="exact"/>
        <w:ind w:left="0" w:right="0" w:firstLine="576"/>
        <w:jc w:val="left"/>
      </w:pPr>
      <w:r>
        <w:rPr>
          <w:strike/>
        </w:rPr>
        <w:t xml:space="preserve">(b) Utilize existing facilities and not require the construction of new facilities; and</w:t>
      </w:r>
    </w:p>
    <w:p>
      <w:pPr>
        <w:spacing w:before="0" w:after="0" w:line="408" w:lineRule="exact"/>
        <w:ind w:left="0" w:right="0" w:firstLine="576"/>
        <w:jc w:val="left"/>
      </w:pPr>
      <w:r>
        <w:rPr>
          <w:strike/>
        </w:rPr>
        <w:t xml:space="preserve">(c) Provide ongoing case management for all children who are being served or were served by the programs.</w:t>
      </w:r>
    </w:p>
    <w:p>
      <w:pPr>
        <w:spacing w:before="0" w:after="0" w:line="408" w:lineRule="exact"/>
        <w:ind w:left="0" w:right="0" w:firstLine="576"/>
        <w:jc w:val="left"/>
      </w:pPr>
      <w:r>
        <w:rPr>
          <w:strike/>
        </w:rPr>
        <w:t xml:space="preserve">(3)</w:t>
      </w:r>
      <w:r>
        <w:t>))</w:t>
      </w:r>
      <w:r>
        <w:rPr/>
        <w:t xml:space="preserve">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w:t>
      </w:r>
      <w:r>
        <w:t>((</w:t>
      </w:r>
      <w:r>
        <w:rPr>
          <w:strike/>
        </w:rPr>
        <w:t xml:space="preserve">and</w:t>
      </w:r>
      <w:r>
        <w:t>))</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r>
        <w:rPr>
          <w:u w:val="single"/>
        </w:rPr>
        <w:t xml:space="preserve">;</w:t>
      </w:r>
    </w:p>
    <w:p>
      <w:pPr>
        <w:spacing w:before="0" w:after="0" w:line="408" w:lineRule="exact"/>
        <w:ind w:left="0" w:right="0" w:firstLine="576"/>
        <w:jc w:val="left"/>
      </w:pPr>
      <w:r>
        <w:rPr>
          <w:u w:val="single"/>
        </w:rPr>
        <w:t xml:space="preserve">(d) Provide shelter and services within the receiving center for up to 30 days; and</w:t>
      </w:r>
    </w:p>
    <w:p>
      <w:pPr>
        <w:spacing w:before="0" w:after="0" w:line="408" w:lineRule="exact"/>
        <w:ind w:left="0" w:right="0" w:firstLine="576"/>
        <w:jc w:val="left"/>
      </w:pPr>
      <w:r>
        <w:rPr>
          <w:u w:val="single"/>
        </w:rPr>
        <w:t xml:space="preserve">(e) Provide ongoing case management for all children who are being served or were served by the programs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0" w:after="0" w:line="408" w:lineRule="exact"/>
        <w:ind w:left="0" w:right="0" w:firstLine="576"/>
        <w:jc w:val="left"/>
      </w:pPr>
      <w:r>
        <w:t>((</w:t>
      </w:r>
      <w:r>
        <w:rPr>
          <w:strike/>
        </w:rPr>
        <w:t xml:space="preserve">(6)(a)</w:t>
      </w:r>
      <w:r>
        <w:t>))</w:t>
      </w:r>
      <w:r>
        <w:rPr/>
        <w:t xml:space="preserve"> </w:t>
      </w:r>
      <w:r>
        <w:rPr>
          <w:u w:val="single"/>
        </w:rPr>
        <w:t xml:space="preserve">(5)</w:t>
      </w:r>
      <w:r>
        <w:rPr/>
        <w:t xml:space="preserve">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t>((</w:t>
      </w:r>
      <w:r>
        <w:rPr>
          <w:strike/>
        </w:rPr>
        <w:t xml:space="preserve">(b) By December 1, 2020, and in compliance with RCW 43.01.036, the department of children, youth, and families shall submit a report to the governor and legislature summarizing the implementation plan and eligibility criteria as described in (a) of this subsection, and provide any additional policy recommendations regarding receiving centers as it deems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program for counseling services for victims of sexual assault whose sexual assault kits were in the statewide testing backlog.</w:t>
      </w:r>
    </w:p>
    <w:p>
      <w:pPr>
        <w:spacing w:before="0" w:after="0" w:line="408" w:lineRule="exact"/>
        <w:ind w:left="0" w:right="0" w:firstLine="576"/>
        <w:jc w:val="left"/>
      </w:pPr>
      <w:r>
        <w:rPr/>
        <w:t xml:space="preserve">(2) To be eligible for benefits under the program established in this section, the victim of sexual assault must have undergone a forensic examination prior to July 24, 2015, and the sexual assault kit collected during the forensic examination must have been tested on or after July 24, 2015. Any other eligibility requirements and restrictions under this chapter do not apply for the purposes of the program under this section.</w:t>
      </w:r>
    </w:p>
    <w:p>
      <w:pPr>
        <w:spacing w:before="0" w:after="0" w:line="408" w:lineRule="exact"/>
        <w:ind w:left="0" w:right="0" w:firstLine="576"/>
        <w:jc w:val="left"/>
      </w:pPr>
      <w:r>
        <w:rPr/>
        <w:t xml:space="preserve">(3) Any victim eligible for benefits under the program may receive up to six counseling sessions in the 12 months following his or her application for benefits. Fees for such counseling must be determined by the department. Benefits under this program are not subject to the requirements in RCW 7.68.130. Costs may be billed or charged by the provider or facility to the department, and such costs must be paid by the department pursuant to this chapter. Otherwise, the department shall reimburse the victim for any costs charged directly to him or her by the provider or facility.</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w:t>
      </w:r>
      <w:r>
        <w:t>((</w:t>
      </w:r>
      <w:r>
        <w:rPr>
          <w:strike/>
        </w:rPr>
        <w:t xml:space="preserve">or</w:t>
      </w:r>
      <w:r>
        <w:t>))</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 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or</w:t>
      </w:r>
    </w:p>
    <w:p>
      <w:pPr>
        <w:spacing w:before="0" w:after="0" w:line="408" w:lineRule="exact"/>
        <w:ind w:left="0" w:right="0" w:firstLine="576"/>
        <w:jc w:val="left"/>
      </w:pPr>
      <w:r>
        <w:rPr>
          <w:u w:val="single"/>
        </w:rPr>
        <w:t xml:space="preserve">(iii) A parent or legal guardian;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No child may be placed in a secure facility except as provided in this chapter.</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RIGHTS OF VICTIMS, SURVIVORS OF VICTIMS, AND WITNESSES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t>((</w:t>
      </w:r>
      <w:r>
        <w:rPr>
          <w:strike/>
        </w:rPr>
        <w:t xml:space="preserve">criminal court and/or juvenile court proceeding</w:t>
      </w:r>
      <w:r>
        <w:t>))</w:t>
      </w:r>
      <w:r>
        <w:rPr/>
        <w:t xml:space="preserve"> </w:t>
      </w:r>
      <w:r>
        <w:rPr>
          <w:u w:val="single"/>
        </w:rPr>
        <w:t xml:space="preserve">adult or juvenile criminal proceeding and any civil commitment proceeding under chapter 10.77 or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10.77 or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in any felony case </w:t>
      </w:r>
      <w:r>
        <w:t>((</w:t>
      </w:r>
      <w:r>
        <w:rPr>
          <w:strike/>
        </w:rPr>
        <w:t xml:space="preserve">or</w:t>
      </w:r>
      <w:r>
        <w:t>))</w:t>
      </w:r>
      <w:r>
        <w:rPr>
          <w:u w:val="single"/>
        </w:rPr>
        <w:t xml:space="preserve">,</w:t>
      </w:r>
      <w:r>
        <w:rPr/>
        <w:t xml:space="preserve"> any case involving domestic violence</w:t>
      </w:r>
      <w:r>
        <w:rPr>
          <w:u w:val="single"/>
        </w:rPr>
        <w:t xml:space="preserve">, or any final determination under chapter 10.77 or 71.09 RCW</w:t>
      </w:r>
      <w:r>
        <w:rPr/>
        <w:t xml:space="preserve">, to be informed by the prosecuting attorney of the date, time, and place of the trial and of the sentencing hearing </w:t>
      </w:r>
      <w:r>
        <w:rPr>
          <w:u w:val="single"/>
        </w:rPr>
        <w:t xml:space="preserve">or disposition hearing</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enumerated in this section, he or she may seek an order directing compliance by the relevant party or parties by filing a petition in the superior court in the county in which the crime occurred and providing notice of such petition to the relevant party or parties. Compliance with the right is the sole available remedy. The court shall expedite consideration of a petition filed under this subsection.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(Sexual assault</w:t>
      </w:r>
      <w:r>
        <w:rPr>
          <w:rFonts w:ascii="Times New Roman" w:hAnsi="Times New Roman"/>
        </w:rPr>
        <w:t xml:space="preserve">—</w:t>
      </w:r>
      <w:r>
        <w:rPr/>
        <w:t xml:space="preserve">Training for investigating and prosecuting) and 2015 c 286 s 2 &amp; 1991 c 267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e1da9624285f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eb70fe878407a" /><Relationship Type="http://schemas.openxmlformats.org/officeDocument/2006/relationships/footer" Target="/word/footer1.xml" Id="Re1da9624285f432a" /></Relationships>
</file>