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54eeca98a4b96" /></Relationships>
</file>

<file path=word/document.xml><?xml version="1.0" encoding="utf-8"?>
<w:document xmlns:w="http://schemas.openxmlformats.org/wordprocessingml/2006/main">
  <w:body>
    <w:p>
      <w:r>
        <w:t>Z-0161.1</w:t>
      </w:r>
    </w:p>
    <w:p>
      <w:pPr>
        <w:jc w:val="center"/>
      </w:pPr>
      <w:r>
        <w:t>_______________________________________________</w:t>
      </w:r>
    </w:p>
    <w:p/>
    <w:p>
      <w:pPr>
        <w:jc w:val="center"/>
      </w:pPr>
      <w:r>
        <w:rPr>
          <w:b/>
        </w:rPr>
        <w:t>HOUSE BILL 1056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Fitzgibbon, Leavitt, Simmons, Lekanoff, Rule, Griffey, Macri, Bergquist, Wylie, and Ormsby; by request of Select Committee on Pension Policy</w:t>
      </w:r>
    </w:p>
    <w:p/>
    <w:p>
      <w:r>
        <w:rPr>
          <w:t xml:space="preserve">Prefiled 12/20/22.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some postretirement employment restrictions; amending RCW 41.32.765, 41.32.802, 41.32.862, 41.32.875, 41.35.060, 41.35.420, 41.35.680, 41.40.630, and 41.40.820;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41.32.802(2)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41.32.802(2) for up to 867 hours per year.</w:t>
      </w:r>
    </w:p>
    <w:p>
      <w:pPr>
        <w:spacing w:before="12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41.32.800(1).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41.32.862(2)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41.32.862(2)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41.32.860(1).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provisions of RCW 41.35.060(2)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41.35.060(2).</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41.40.690(1).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41.40.850(1).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3214105840849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d142326a04df6" /><Relationship Type="http://schemas.openxmlformats.org/officeDocument/2006/relationships/footer" Target="/word/footer1.xml" Id="R83214105840849a8" /></Relationships>
</file>