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243b601334d01" /></Relationships>
</file>

<file path=word/document.xml><?xml version="1.0" encoding="utf-8"?>
<w:document xmlns:w="http://schemas.openxmlformats.org/wordprocessingml/2006/main">
  <w:body>
    <w:p>
      <w:r>
        <w:t>H-0022.1</w:t>
      </w:r>
    </w:p>
    <w:p>
      <w:pPr>
        <w:jc w:val="center"/>
      </w:pPr>
      <w:r>
        <w:t>_______________________________________________</w:t>
      </w:r>
    </w:p>
    <w:p/>
    <w:p>
      <w:pPr>
        <w:jc w:val="center"/>
      </w:pPr>
      <w:r>
        <w:rPr>
          <w:b/>
        </w:rPr>
        <w:t>HOUSE BILL 1097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Goodman, Leavitt, Ramel, Peterson, Fitzgibbon, Macri, Simmons, Reeves, Thai, Gregerson, Stonier, Pollet, Kloba, Santos, and Ormsby</w:t>
      </w:r>
    </w:p>
    <w:p/>
    <w:p>
      <w:r>
        <w:rPr>
          <w:t xml:space="preserve">Prefiled 12/30/22.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2024.</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 has the same meaning as "to manufacture" in RCW 82.04.120.</w:t>
      </w:r>
    </w:p>
    <w:p>
      <w:pPr>
        <w:spacing w:before="0" w:after="0" w:line="408" w:lineRule="exact"/>
        <w:ind w:left="0" w:right="0" w:firstLine="576"/>
        <w:jc w:val="left"/>
      </w:pPr>
      <w:r>
        <w:rPr/>
        <w:t xml:space="preserve">(6) "Manufacturer" means any entity required to specify conspicuously its name and place of business on the label of a cosmetic in package form under 21 C.F.R. Sec. 701.12 on January 1, 2024.</w:t>
      </w:r>
    </w:p>
    <w:p>
      <w:pPr>
        <w:spacing w:before="0" w:after="0" w:line="408" w:lineRule="exact"/>
        <w:ind w:left="0" w:right="0" w:firstLine="576"/>
        <w:jc w:val="left"/>
      </w:pPr>
      <w:r>
        <w:rPr/>
        <w:t xml:space="preserve">(7) "Nonfunctional constituent" means any incidental ingredient as defined in 21 C.F.R. Sec. 701.3(1) on January 1, 2024.</w:t>
      </w:r>
    </w:p>
    <w:p>
      <w:pPr>
        <w:spacing w:before="0" w:after="0" w:line="408" w:lineRule="exact"/>
        <w:ind w:left="0" w:right="0" w:firstLine="576"/>
        <w:jc w:val="left"/>
      </w:pPr>
      <w:r>
        <w:rPr/>
        <w:t xml:space="preserve">(8)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2024,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There is documented evidence of the noncosmetic intent of the test; and</w:t>
      </w:r>
    </w:p>
    <w:p>
      <w:pPr>
        <w:spacing w:before="0" w:after="0" w:line="408" w:lineRule="exact"/>
        <w:ind w:left="0" w:right="0" w:firstLine="576"/>
        <w:jc w:val="left"/>
      </w:pPr>
      <w:r>
        <w:rPr/>
        <w:t xml:space="preserve">(c)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2024, even if the cosmetic is manufactured on or after January 1, 2024, if no new animal testing in violation of this chapter occurs after January 1, 2024;</w:t>
      </w:r>
    </w:p>
    <w:p>
      <w:pPr>
        <w:spacing w:before="0" w:after="0" w:line="408" w:lineRule="exact"/>
        <w:ind w:left="0" w:right="0" w:firstLine="576"/>
        <w:jc w:val="left"/>
      </w:pPr>
      <w:r>
        <w:rPr/>
        <w:t xml:space="preserve">(2) An ingredient in a cosmetic if the ingredient was tested on animals before January 1, 2024, even if the ingredient is manufactured on or after January 1, 2024, if no new animal testing in violation of this chapter occurs after January 1, 2024;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2fdee0b3fb740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dc77b0760480d" /><Relationship Type="http://schemas.openxmlformats.org/officeDocument/2006/relationships/footer" Target="/word/footer1.xml" Id="R92fdee0b3fb740f4" /></Relationships>
</file>