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1336c8678243c2" /></Relationships>
</file>

<file path=word/document.xml><?xml version="1.0" encoding="utf-8"?>
<w:document xmlns:w="http://schemas.openxmlformats.org/wordprocessingml/2006/main">
  <w:body>
    <w:p>
      <w:r>
        <w:t>H-0337.1</w:t>
      </w:r>
    </w:p>
    <w:p>
      <w:pPr>
        <w:jc w:val="center"/>
      </w:pPr>
      <w:r>
        <w:t>_______________________________________________</w:t>
      </w:r>
    </w:p>
    <w:p/>
    <w:p>
      <w:pPr>
        <w:jc w:val="center"/>
      </w:pPr>
      <w:r>
        <w:rPr>
          <w:b/>
        </w:rPr>
        <w:t>HOUSE BILL 1110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Bateman, Barkis, Reed, Taylor, Riccelli, Berry, Fitzgibbon, Peterson, Duerr, Lekanoff, Alvarado, Street, Ryu, Ramel, Cortes, Doglio, Macri, Mena, Gregerson, Thai, Bergquist, Farivar, Wylie, Stonier, Pollet, Santos, Fosse, and Ormsby</w:t>
      </w:r>
    </w:p>
    <w:p/>
    <w:p>
      <w:r>
        <w:rPr>
          <w:t xml:space="preserve">Prefiled 01/04/23.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homes for Washington by increasing middle housing in areas traditionally dedicated to single-family detached housing; amending RCW 36.70A.030, 36.70A.280, and 43.21C.495; adding new sections to chapter 36.70A RCW; adding a new section to chapter 64.34 RCW; adding a new section to chapter 64.32 RCW; adding a new section to chapter 64.38 RCW; adding a new section to chapter 64.90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shortage for its current population and without significant action will not meet its goal of creating 1,000,000 homes by 2044.</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To unlock opportunity for Washingtonians it is necessary to lift bans on the development of modest home choices in cities near job centers, transit, and amenity-rich neighborhoods.</w:t>
      </w:r>
    </w:p>
    <w:p>
      <w:pPr>
        <w:spacing w:before="0" w:after="0" w:line="408" w:lineRule="exact"/>
        <w:ind w:left="0" w:right="0" w:firstLine="576"/>
        <w:jc w:val="left"/>
      </w:pPr>
      <w:r>
        <w:rPr/>
        <w:t xml:space="preserve">Homes developed at higher densities and gentle density housing types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review process" means a development permit process whereby an application is reviewed, approved, or denied by the planning director or the planning director's designee based solely on objective design and development standards that involve no personal or subjective judgment.</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"Cottage housing" means detached dwelling units arranged on two or more sides of a landscaped central area.</w:t>
      </w:r>
    </w:p>
    <w:p>
      <w:pPr>
        <w:spacing w:before="0" w:after="0" w:line="408" w:lineRule="exact"/>
        <w:ind w:left="0" w:right="0" w:firstLine="576"/>
        <w:jc w:val="left"/>
      </w:pPr>
      <w:r>
        <w:rPr>
          <w:u w:val="single"/>
        </w:rPr>
        <w:t xml:space="preserve">(8) "Courtyard apartments" means attached dwelling units arranged on two or more sides of a landscaped central courtyard.</w:t>
      </w:r>
    </w:p>
    <w:p>
      <w:pPr>
        <w:spacing w:before="0" w:after="0" w:line="408" w:lineRule="exact"/>
        <w:ind w:left="0" w:right="0" w:firstLine="576"/>
        <w:jc w:val="left"/>
      </w:pPr>
      <w:r>
        <w:rPr>
          <w:u w:val="single"/>
        </w:rPr>
        <w:t xml:space="preserve">(9)</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(20)(a) "Major transit stop," except as provided in (b) of this subsection, means:</w:t>
      </w:r>
    </w:p>
    <w:p>
      <w:pPr>
        <w:spacing w:before="0" w:after="0" w:line="408" w:lineRule="exact"/>
        <w:ind w:left="0" w:right="0" w:firstLine="576"/>
        <w:jc w:val="left"/>
      </w:pPr>
      <w:r>
        <w:rPr>
          <w:u w:val="single"/>
        </w:rPr>
        <w:t xml:space="preserve">(i) A stop on a high capacity transportation system funded or expanded under the provisions of chapter 81.104 RCW;</w:t>
      </w:r>
    </w:p>
    <w:p>
      <w:pPr>
        <w:spacing w:before="0" w:after="0" w:line="408" w:lineRule="exact"/>
        <w:ind w:left="0" w:right="0" w:firstLine="576"/>
        <w:jc w:val="left"/>
      </w:pPr>
      <w:r>
        <w:rPr>
          <w:u w:val="single"/>
        </w:rPr>
        <w:t xml:space="preserve">(ii) Commuter rail stops;</w:t>
      </w:r>
    </w:p>
    <w:p>
      <w:pPr>
        <w:spacing w:before="0" w:after="0" w:line="408" w:lineRule="exact"/>
        <w:ind w:left="0" w:right="0" w:firstLine="576"/>
        <w:jc w:val="left"/>
      </w:pPr>
      <w:r>
        <w:rPr>
          <w:u w:val="single"/>
        </w:rPr>
        <w:t xml:space="preserve">(iii) Stops on rail or fixed guideway systems, including transitways;</w:t>
      </w:r>
    </w:p>
    <w:p>
      <w:pPr>
        <w:spacing w:before="0" w:after="0" w:line="408" w:lineRule="exact"/>
        <w:ind w:left="0" w:right="0" w:firstLine="576"/>
        <w:jc w:val="left"/>
      </w:pPr>
      <w:r>
        <w:rPr>
          <w:u w:val="single"/>
        </w:rPr>
        <w:t xml:space="preserve">(iv) Stops on bus rapid transit routes;</w:t>
      </w:r>
    </w:p>
    <w:p>
      <w:pPr>
        <w:spacing w:before="0" w:after="0" w:line="408" w:lineRule="exact"/>
        <w:ind w:left="0" w:right="0" w:firstLine="576"/>
        <w:jc w:val="left"/>
      </w:pPr>
      <w:r>
        <w:rPr>
          <w:u w:val="single"/>
        </w:rPr>
        <w:t xml:space="preserve">(v) A stop for a bus or other transit mode providing a minimum of seven days per week of actual fixed route service at intervals of:</w:t>
      </w:r>
    </w:p>
    <w:p>
      <w:pPr>
        <w:spacing w:before="0" w:after="0" w:line="408" w:lineRule="exact"/>
        <w:ind w:left="0" w:right="0" w:firstLine="576"/>
        <w:jc w:val="left"/>
      </w:pPr>
      <w:r>
        <w:rPr>
          <w:u w:val="single"/>
        </w:rPr>
        <w:t xml:space="preserve">(A) Fifteen minutes or fewer on nonholiday weekdays between 9:00 a.m. and 5:00 p.m.;</w:t>
      </w:r>
    </w:p>
    <w:p>
      <w:pPr>
        <w:spacing w:before="0" w:after="0" w:line="408" w:lineRule="exact"/>
        <w:ind w:left="0" w:right="0" w:firstLine="576"/>
        <w:jc w:val="left"/>
      </w:pPr>
      <w:r>
        <w:rPr>
          <w:u w:val="single"/>
        </w:rPr>
        <w:t xml:space="preserve">(B) Thirty minutes or fewer on nonholiday weekdays between 6:00 a.m. and 9:00 a.m. and between 5:00 p.m. and 10:00 p.m.; and</w:t>
      </w:r>
    </w:p>
    <w:p>
      <w:pPr>
        <w:spacing w:before="0" w:after="0" w:line="408" w:lineRule="exact"/>
        <w:ind w:left="0" w:right="0" w:firstLine="576"/>
        <w:jc w:val="left"/>
      </w:pPr>
      <w:r>
        <w:rPr>
          <w:u w:val="single"/>
        </w:rPr>
        <w:t xml:space="preserve">(C) Thirty minutes or fewer on weekend days between 9:00 a.m. and 5:00 p.m.; or</w:t>
      </w:r>
    </w:p>
    <w:p>
      <w:pPr>
        <w:spacing w:before="0" w:after="0" w:line="408" w:lineRule="exact"/>
        <w:ind w:left="0" w:right="0" w:firstLine="576"/>
        <w:jc w:val="left"/>
      </w:pPr>
      <w:r>
        <w:rPr>
          <w:u w:val="single"/>
        </w:rPr>
        <w:t xml:space="preserve">(vi) Washington state ferry terminals.</w:t>
      </w:r>
    </w:p>
    <w:p>
      <w:pPr>
        <w:spacing w:before="0" w:after="0" w:line="408" w:lineRule="exact"/>
        <w:ind w:left="0" w:right="0" w:firstLine="576"/>
        <w:jc w:val="left"/>
      </w:pPr>
      <w:r>
        <w:rPr>
          <w:u w:val="single"/>
        </w:rPr>
        <w:t xml:space="preserve">(b) Alternatively, a definition of "major transit stop" adopted before the effective date of this section by a regional agency planning under the multicounty planning policies authority pursuant to RCW 36.70A.210(7) shall apply to counties and cities which are subject to those multicounty planning policies.</w:t>
      </w:r>
    </w:p>
    <w:p>
      <w:pPr>
        <w:spacing w:before="0" w:after="0" w:line="408" w:lineRule="exact"/>
        <w:ind w:left="0" w:right="0" w:firstLine="576"/>
        <w:jc w:val="left"/>
      </w:pPr>
      <w:r>
        <w:rPr>
          <w:u w:val="single"/>
        </w:rPr>
        <w:t xml:space="preserve">(21) "Middle housing" means buildings that are compatible in scale, form, and character with single-family houses and contain two or more attached, stacked, or clustered homes including duplexes, triplexes, fourplexes, fiveplexes, sixplexes, townhouses, courtyard apartments, and cottage housing.</w:t>
      </w:r>
    </w:p>
    <w:p>
      <w:pPr>
        <w:spacing w:before="0" w:after="0" w:line="408" w:lineRule="exact"/>
        <w:ind w:left="0" w:right="0" w:firstLine="576"/>
        <w:jc w:val="left"/>
      </w:pPr>
      <w:r>
        <w:rPr>
          <w:u w:val="single"/>
        </w:rPr>
        <w:t xml:space="preserve">(22)</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(32) "Townhouses"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u w:val="single"/>
        </w:rPr>
        <w:t xml:space="preserve">(33)</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with a population of 6,000 or more, or any city that is within a contiguous urban growth area with a city with a population above 200,000 based on office of financial management population estimates, as of the effective date of this section,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The development of at least four units per lot on all lots zoned for residential use;</w:t>
      </w:r>
    </w:p>
    <w:p>
      <w:pPr>
        <w:spacing w:before="0" w:after="0" w:line="408" w:lineRule="exact"/>
        <w:ind w:left="0" w:right="0" w:firstLine="576"/>
        <w:jc w:val="left"/>
      </w:pPr>
      <w:r>
        <w:rPr/>
        <w:t xml:space="preserve">(b) The development of six units per lot in all residential zones if two of the six units are affordable; and</w:t>
      </w:r>
    </w:p>
    <w:p>
      <w:pPr>
        <w:spacing w:before="0" w:after="0" w:line="408" w:lineRule="exact"/>
        <w:ind w:left="0" w:right="0" w:firstLine="576"/>
        <w:jc w:val="left"/>
      </w:pPr>
      <w:r>
        <w:rPr/>
        <w:t xml:space="preserve">(c) The development of at least six units per lot in all residential zones within one-half mile of a major transit stop.</w:t>
      </w:r>
    </w:p>
    <w:p>
      <w:pPr>
        <w:spacing w:before="0" w:after="0" w:line="408" w:lineRule="exact"/>
        <w:ind w:left="0" w:right="0" w:firstLine="576"/>
        <w:jc w:val="left"/>
      </w:pPr>
      <w:r>
        <w:rPr/>
        <w:t xml:space="preserve">(2) To qualify for the additional units allowed under subsection (1)(b) of this section, the applicant must commit to renting two of the six units at rents that are affordable to low-income households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low-income housing.</w:t>
      </w:r>
    </w:p>
    <w:p>
      <w:pPr>
        <w:spacing w:before="0" w:after="0" w:line="408" w:lineRule="exact"/>
        <w:ind w:left="0" w:right="0" w:firstLine="576"/>
        <w:jc w:val="left"/>
      </w:pPr>
      <w:r>
        <w:rPr/>
        <w:t xml:space="preserve">(3) Any city subject to the requirements under subsection (1) of this section that has not adopted local antidisplacement measures as a portion of the city's mandatory housing element under RCW 36.70A.070(2) must, within nine months of the effective date of this section, perform the actions specified in RCW 36.70A.070(2) (e), (f), (g), and (h) for areas within one-half mile of a major transit stop.</w:t>
      </w:r>
    </w:p>
    <w:p>
      <w:pPr>
        <w:spacing w:before="0" w:after="0" w:line="408" w:lineRule="exact"/>
        <w:ind w:left="0" w:right="0" w:firstLine="576"/>
        <w:jc w:val="left"/>
      </w:pPr>
      <w:r>
        <w:rPr/>
        <w:t xml:space="preserve">(4) Any city subject to the requirements of this section:</w:t>
      </w:r>
    </w:p>
    <w:p>
      <w:pPr>
        <w:spacing w:before="0" w:after="0" w:line="408" w:lineRule="exact"/>
        <w:ind w:left="0" w:right="0" w:firstLine="576"/>
        <w:jc w:val="left"/>
      </w:pPr>
      <w:r>
        <w:rPr/>
        <w:t xml:space="preserve">(a) May only adopt objective development and design standards on the development of middle housing. Objective development and design standards do not require or allow personal or subjective judgment by a permit administrator. Objective development and design standards may not discourage the development of middle housing through unreasonable costs, fees, delays, or other requirements or actions which individually, or cumulatively, make impracticable the permitting, siting, or construction of all allowed middle housing types or the ownership of a middle housing unit;</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w:t>
      </w:r>
    </w:p>
    <w:p>
      <w:pPr>
        <w:spacing w:before="0" w:after="0" w:line="408" w:lineRule="exact"/>
        <w:ind w:left="0" w:right="0" w:firstLine="576"/>
        <w:jc w:val="left"/>
      </w:pPr>
      <w:r>
        <w:rPr/>
        <w:t xml:space="preserve">(d) Shall apply to middle housing the same critical areas regulations that apply to detached single-family residences;</w:t>
      </w:r>
    </w:p>
    <w:p>
      <w:pPr>
        <w:spacing w:before="0" w:after="0" w:line="408" w:lineRule="exact"/>
        <w:ind w:left="0" w:right="0" w:firstLine="576"/>
        <w:jc w:val="left"/>
      </w:pPr>
      <w:r>
        <w:rPr/>
        <w:t xml:space="preserve">(e) Shall not require off-street parking as a condition of permitting development of middle housing within one-half mile of a major transit stop;</w:t>
      </w:r>
    </w:p>
    <w:p>
      <w:pPr>
        <w:spacing w:before="0" w:after="0" w:line="408" w:lineRule="exact"/>
        <w:ind w:left="0" w:right="0" w:firstLine="576"/>
        <w:jc w:val="left"/>
      </w:pPr>
      <w:r>
        <w:rPr/>
        <w:t xml:space="preserve">(f) Shall not require more than one off-street parking space per lot as a condition of permitting development of middle housing on lots smaller than 6,000 square feet; and</w:t>
      </w:r>
    </w:p>
    <w:p>
      <w:pPr>
        <w:spacing w:before="0" w:after="0" w:line="408" w:lineRule="exact"/>
        <w:ind w:left="0" w:right="0" w:firstLine="576"/>
        <w:jc w:val="left"/>
      </w:pPr>
      <w:r>
        <w:rPr/>
        <w:t xml:space="preserve">(g) Shall not require more than two off-street parking spaces per lot as a condition of permitting development of middle housing on lots greater than 6,000 square feet.</w:t>
      </w:r>
    </w:p>
    <w:p>
      <w:pPr>
        <w:spacing w:before="0" w:after="0" w:line="408" w:lineRule="exact"/>
        <w:ind w:left="0" w:right="0" w:firstLine="576"/>
        <w:jc w:val="left"/>
      </w:pPr>
      <w:r>
        <w:rPr/>
        <w:t xml:space="preserve">(5) Nothing in this section prohibits a city from permitting detached single-family residences.</w:t>
      </w:r>
    </w:p>
    <w:p>
      <w:pPr>
        <w:spacing w:before="0" w:after="0" w:line="408" w:lineRule="exact"/>
        <w:ind w:left="0" w:right="0" w:firstLine="576"/>
        <w:jc w:val="left"/>
      </w:pPr>
      <w:r>
        <w:rPr/>
        <w:t xml:space="preserve">(6) The requirements of this section apply and take effect on the latter of:</w:t>
      </w:r>
    </w:p>
    <w:p>
      <w:pPr>
        <w:spacing w:before="0" w:after="0" w:line="408" w:lineRule="exact"/>
        <w:ind w:left="0" w:right="0" w:firstLine="576"/>
        <w:jc w:val="left"/>
      </w:pPr>
      <w:r>
        <w:rPr/>
        <w:t xml:space="preserve">(a) Twenty-four months following the effective date of this section for cities with a population of 10,000 or more; or</w:t>
      </w:r>
    </w:p>
    <w:p>
      <w:pPr>
        <w:spacing w:before="0" w:after="0" w:line="408" w:lineRule="exact"/>
        <w:ind w:left="0" w:right="0" w:firstLine="576"/>
        <w:jc w:val="left"/>
      </w:pPr>
      <w:r>
        <w:rPr/>
        <w:t xml:space="preserve">(b) Twelve months after a determination by the office of financial management that a city has reached a population threshold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18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3(6) of this act, the model ordinance supersedes, preempts, and invalidates local development regulations until the city takes all actions necessary to implement section 3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necessary local actions.</w:t>
      </w:r>
    </w:p>
    <w:p>
      <w:pPr>
        <w:spacing w:before="0" w:after="0" w:line="408" w:lineRule="exact"/>
        <w:ind w:left="0" w:right="0" w:firstLine="576"/>
        <w:jc w:val="left"/>
      </w:pPr>
      <w:r>
        <w:rPr/>
        <w:t xml:space="preserve">(b) The department may approve actions under this section for cities that have, by the effective date of this section, adopted permanent development regulations that are substantially similar to the requirements of this act.</w:t>
      </w:r>
    </w:p>
    <w:p>
      <w:pPr>
        <w:spacing w:before="0" w:after="0" w:line="408" w:lineRule="exact"/>
        <w:ind w:left="0" w:right="0" w:firstLine="576"/>
        <w:jc w:val="left"/>
      </w:pPr>
      <w:r>
        <w:rPr/>
        <w:t xml:space="preserve">(c)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(d) The department's final decision to approve or reject actions by cities implementing section 3 of this act may be appealed to the growth management hearings board by filing a petition as provided in RCW 36.70A.290.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subject to the requirements under section 3 of this act may apply to the department for, and the department may certify, an extension of the implementation timelines established under section 3(6)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or stormwater services are currently deficient, or are expected to be deficient within the next five years, and for which the local government has established a plan of action that will remedy the deficiency in those services on a specific timeline. The department may certify no more than one additional extension of a city's remediation timeline.</w:t>
      </w:r>
    </w:p>
    <w:p>
      <w:pPr>
        <w:spacing w:before="0" w:after="0" w:line="408" w:lineRule="exact"/>
        <w:ind w:left="0" w:right="0" w:firstLine="576"/>
        <w:jc w:val="left"/>
      </w:pPr>
      <w:r>
        <w:rPr/>
        <w:t xml:space="preserve">(3) An application for an implementation timeline extension by a city must be filed with the department no later than 24 months following the effective date of this section.</w:t>
      </w:r>
    </w:p>
    <w:p>
      <w:pPr>
        <w:spacing w:before="0" w:after="0" w:line="408" w:lineRule="exact"/>
        <w:ind w:left="0" w:right="0" w:firstLine="576"/>
        <w:jc w:val="left"/>
      </w:pPr>
      <w:r>
        <w:rPr/>
        <w:t xml:space="preserve">(4) The department may establish by rule any procedures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4(3)(b)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city that adopts development regulations that are consistent with and implement this act and RCW 35A.21.430 or 35.21.683 shall be deemed in compliance with the requirements of RCW 36.70A.070(2)(d) until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
      <w:pPr>
        <w:jc w:val="center"/>
      </w:pPr>
      <w:r>
        <w:rPr>
          <w:b/>
        </w:rPr>
        <w:t>--- END ---</w:t>
      </w:r>
    </w:p>
    <w:sectPr>
      <w:pgNumType w:start="1"/>
      <w:footerReference xmlns:r="http://schemas.openxmlformats.org/officeDocument/2006/relationships" r:id="R78e721c09cc747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33ff921354f0a" /><Relationship Type="http://schemas.openxmlformats.org/officeDocument/2006/relationships/footer" Target="/word/footer1.xml" Id="R78e721c09cc7475f" /></Relationships>
</file>